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521" w:rsidRDefault="00CD5DBC" w:rsidP="00D44968">
      <w:pPr>
        <w:suppressLineNumbers/>
        <w:rPr>
          <w:b/>
          <w:bCs/>
          <w:sz w:val="26"/>
          <w:szCs w:val="26"/>
          <w:rtl/>
        </w:rPr>
      </w:pPr>
      <w:bookmarkStart w:id="0" w:name="_GoBack"/>
      <w:bookmarkEnd w:id="0"/>
      <w:r w:rsidRPr="00CD5DBC">
        <w:rPr>
          <w:rFonts w:hint="cs"/>
          <w:b/>
          <w:bCs/>
          <w:sz w:val="26"/>
          <w:szCs w:val="26"/>
          <w:rtl/>
        </w:rPr>
        <w:t xml:space="preserve">לפני </w:t>
      </w:r>
    </w:p>
    <w:p w:rsidR="001D6521" w:rsidRDefault="001D6521" w:rsidP="00D44968">
      <w:pPr>
        <w:suppressLineNumbers/>
        <w:rPr>
          <w:b/>
          <w:bCs/>
          <w:sz w:val="26"/>
          <w:szCs w:val="26"/>
          <w:rtl/>
        </w:rPr>
      </w:pPr>
      <w:r>
        <w:rPr>
          <w:rFonts w:hint="cs"/>
          <w:b/>
          <w:bCs/>
          <w:sz w:val="26"/>
          <w:szCs w:val="26"/>
          <w:rtl/>
        </w:rPr>
        <w:t>כב'</w:t>
      </w:r>
      <w:r w:rsidR="00CD5DBC" w:rsidRPr="00CD5DBC">
        <w:rPr>
          <w:rFonts w:hint="cs"/>
          <w:b/>
          <w:bCs/>
          <w:sz w:val="26"/>
          <w:szCs w:val="26"/>
          <w:rtl/>
        </w:rPr>
        <w:t xml:space="preserve"> השופטת </w:t>
      </w:r>
      <w:r w:rsidR="00CD5DBC" w:rsidRPr="00CD5DBC">
        <w:rPr>
          <w:b/>
          <w:bCs/>
          <w:sz w:val="26"/>
          <w:szCs w:val="26"/>
          <w:rtl/>
        </w:rPr>
        <w:t>–</w:t>
      </w:r>
      <w:r w:rsidR="00CD5DBC" w:rsidRPr="00CD5DBC">
        <w:rPr>
          <w:rFonts w:hint="cs"/>
          <w:b/>
          <w:bCs/>
          <w:sz w:val="26"/>
          <w:szCs w:val="26"/>
          <w:rtl/>
        </w:rPr>
        <w:t xml:space="preserve"> נשיאה רות לורך, </w:t>
      </w:r>
    </w:p>
    <w:p w:rsidR="001D6521" w:rsidRDefault="001D6521" w:rsidP="00D44968">
      <w:pPr>
        <w:suppressLineNumbers/>
        <w:rPr>
          <w:b/>
          <w:bCs/>
          <w:sz w:val="26"/>
          <w:szCs w:val="26"/>
          <w:rtl/>
        </w:rPr>
      </w:pPr>
      <w:r>
        <w:rPr>
          <w:rFonts w:hint="cs"/>
          <w:b/>
          <w:bCs/>
          <w:sz w:val="26"/>
          <w:szCs w:val="26"/>
          <w:rtl/>
        </w:rPr>
        <w:t>כב' ה</w:t>
      </w:r>
      <w:r w:rsidR="00CD5DBC" w:rsidRPr="00CD5DBC">
        <w:rPr>
          <w:rFonts w:hint="cs"/>
          <w:b/>
          <w:bCs/>
          <w:sz w:val="26"/>
          <w:szCs w:val="26"/>
          <w:rtl/>
        </w:rPr>
        <w:t xml:space="preserve">שופטת דבורה עטר, </w:t>
      </w:r>
    </w:p>
    <w:p w:rsidR="0094424E" w:rsidRPr="00CD5DBC" w:rsidRDefault="001D6521" w:rsidP="00D44968">
      <w:pPr>
        <w:suppressLineNumbers/>
        <w:rPr>
          <w:b/>
          <w:bCs/>
          <w:sz w:val="26"/>
          <w:szCs w:val="26"/>
          <w:rtl/>
        </w:rPr>
      </w:pPr>
      <w:r>
        <w:rPr>
          <w:rFonts w:hint="cs"/>
          <w:b/>
          <w:bCs/>
          <w:sz w:val="26"/>
          <w:szCs w:val="26"/>
          <w:rtl/>
        </w:rPr>
        <w:t>כב' ה</w:t>
      </w:r>
      <w:r w:rsidR="00CD5DBC" w:rsidRPr="00CD5DBC">
        <w:rPr>
          <w:rFonts w:hint="cs"/>
          <w:b/>
          <w:bCs/>
          <w:sz w:val="26"/>
          <w:szCs w:val="26"/>
          <w:rtl/>
        </w:rPr>
        <w:t>שופט, סגן נשיאה עמי קובו</w:t>
      </w:r>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5"/>
        <w:gridCol w:w="6313"/>
        <w:gridCol w:w="222"/>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p>
        </w:tc>
        <w:tc>
          <w:tcPr>
            <w:tcW w:w="8077" w:type="dxa"/>
            <w:gridSpan w:val="2"/>
          </w:tcPr>
          <w:p w:rsidR="00007DE0" w:rsidRPr="008A59EE" w:rsidRDefault="00007DE0" w:rsidP="00007DE0">
            <w:pPr>
              <w:suppressLineNumbers/>
              <w:rPr>
                <w:sz w:val="26"/>
                <w:szCs w:val="26"/>
              </w:rPr>
            </w:pPr>
          </w:p>
        </w:tc>
      </w:tr>
      <w:tr w:rsidR="0094424E" w:rsidTr="00465D36">
        <w:trPr>
          <w:jc w:val="center"/>
        </w:trPr>
        <w:tc>
          <w:tcPr>
            <w:tcW w:w="3249" w:type="dxa"/>
            <w:gridSpan w:val="2"/>
          </w:tcPr>
          <w:p w:rsidR="00E65E8E" w:rsidRDefault="00CD5DBC">
            <w:pPr>
              <w:suppressLineNumbers/>
              <w:rPr>
                <w:rFonts w:ascii="Arial" w:hAnsi="Arial"/>
                <w:b/>
                <w:bCs/>
                <w:noProof w:val="0"/>
                <w:sz w:val="26"/>
                <w:szCs w:val="26"/>
                <w:rtl/>
              </w:rPr>
            </w:pPr>
            <w:r>
              <w:rPr>
                <w:rFonts w:ascii="Arial" w:hAnsi="Arial" w:hint="cs"/>
                <w:b/>
                <w:bCs/>
                <w:noProof w:val="0"/>
                <w:sz w:val="26"/>
                <w:szCs w:val="26"/>
                <w:rtl/>
              </w:rPr>
              <w:t>המאשימה                                  מדינת ישראל</w:t>
            </w:r>
          </w:p>
          <w:p w:rsidR="00CD5DBC" w:rsidRDefault="00CD5DBC">
            <w:pPr>
              <w:suppressLineNumbers/>
              <w:rPr>
                <w:rFonts w:ascii="Arial" w:hAnsi="Arial"/>
                <w:b/>
                <w:bCs/>
                <w:noProof w:val="0"/>
                <w:sz w:val="26"/>
                <w:szCs w:val="26"/>
                <w:rtl/>
              </w:rPr>
            </w:pPr>
          </w:p>
          <w:p w:rsidR="00CD5DBC" w:rsidRDefault="00CD5DBC">
            <w:pPr>
              <w:suppressLineNumbers/>
              <w:rPr>
                <w:rFonts w:ascii="Arial" w:hAnsi="Arial"/>
                <w:b/>
                <w:bCs/>
                <w:noProof w:val="0"/>
                <w:sz w:val="26"/>
                <w:szCs w:val="26"/>
                <w:rtl/>
              </w:rPr>
            </w:pPr>
            <w:r>
              <w:rPr>
                <w:rFonts w:ascii="Arial" w:hAnsi="Arial" w:hint="cs"/>
                <w:b/>
                <w:bCs/>
                <w:noProof w:val="0"/>
                <w:sz w:val="26"/>
                <w:szCs w:val="26"/>
                <w:rtl/>
              </w:rPr>
              <w:t xml:space="preserve">                                                          נגד</w:t>
            </w:r>
          </w:p>
          <w:p w:rsidR="00CD5DBC" w:rsidRDefault="00CD5DBC">
            <w:pPr>
              <w:suppressLineNumbers/>
              <w:rPr>
                <w:rFonts w:ascii="Arial" w:hAnsi="Arial"/>
                <w:b/>
                <w:bCs/>
                <w:noProof w:val="0"/>
                <w:sz w:val="26"/>
                <w:szCs w:val="26"/>
                <w:rtl/>
              </w:rPr>
            </w:pPr>
          </w:p>
          <w:p w:rsidR="00CD5DBC" w:rsidRDefault="00CD5DBC">
            <w:pPr>
              <w:suppressLineNumbers/>
              <w:rPr>
                <w:rFonts w:ascii="Arial" w:hAnsi="Arial"/>
                <w:b/>
                <w:bCs/>
                <w:noProof w:val="0"/>
                <w:sz w:val="26"/>
                <w:szCs w:val="26"/>
                <w:rtl/>
              </w:rPr>
            </w:pPr>
            <w:r>
              <w:rPr>
                <w:rFonts w:ascii="Arial" w:hAnsi="Arial" w:hint="cs"/>
                <w:b/>
                <w:bCs/>
                <w:noProof w:val="0"/>
                <w:sz w:val="26"/>
                <w:szCs w:val="26"/>
                <w:rtl/>
              </w:rPr>
              <w:t>הנאשם                                       פלוני</w:t>
            </w:r>
          </w:p>
        </w:tc>
        <w:tc>
          <w:tcPr>
            <w:tcW w:w="5571" w:type="dxa"/>
          </w:tcPr>
          <w:p w:rsidR="0094424E" w:rsidRDefault="0094424E" w:rsidP="00FE09EC">
            <w:pPr>
              <w:suppressLineNumbers/>
              <w:rPr>
                <w:b/>
                <w:bCs/>
                <w:noProof w:val="0"/>
                <w:sz w:val="26"/>
                <w:szCs w:val="26"/>
              </w:rPr>
            </w:pPr>
          </w:p>
        </w:tc>
      </w:tr>
      <w:tr w:rsidR="0094424E">
        <w:trPr>
          <w:jc w:val="center"/>
        </w:trPr>
        <w:tc>
          <w:tcPr>
            <w:tcW w:w="8820" w:type="dxa"/>
            <w:gridSpan w:val="3"/>
          </w:tcPr>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CD5DBC" w:rsidRDefault="00CD5DBC" w:rsidP="00CD5DBC">
            <w:pPr>
              <w:pStyle w:val="12"/>
              <w:rPr>
                <w:rtl/>
              </w:rPr>
            </w:pPr>
            <w:r>
              <w:rPr>
                <w:rFonts w:hint="cs"/>
                <w:rtl/>
              </w:rPr>
              <w:t>נ</w:t>
            </w:r>
            <w:r>
              <w:rPr>
                <w:rtl/>
              </w:rPr>
              <w:t>וכחים:</w:t>
            </w:r>
          </w:p>
          <w:p w:rsidR="00CD5DBC" w:rsidRDefault="00CD5DBC" w:rsidP="00CD5DBC">
            <w:pPr>
              <w:pStyle w:val="12"/>
              <w:rPr>
                <w:b w:val="0"/>
                <w:bCs w:val="0"/>
                <w:u w:val="none"/>
                <w:rtl/>
              </w:rPr>
            </w:pPr>
            <w:r>
              <w:rPr>
                <w:b w:val="0"/>
                <w:bCs w:val="0"/>
                <w:u w:val="none"/>
                <w:rtl/>
              </w:rPr>
              <w:t>ב"כ המאשימה עו"ד יעל עצמון</w:t>
            </w:r>
          </w:p>
          <w:p w:rsidR="00CD5DBC" w:rsidRDefault="00CD5DBC" w:rsidP="00CD5DBC">
            <w:pPr>
              <w:pStyle w:val="12"/>
              <w:rPr>
                <w:b w:val="0"/>
                <w:bCs w:val="0"/>
                <w:u w:val="none"/>
                <w:rtl/>
              </w:rPr>
            </w:pPr>
            <w:r>
              <w:rPr>
                <w:b w:val="0"/>
                <w:bCs w:val="0"/>
                <w:u w:val="none"/>
                <w:rtl/>
              </w:rPr>
              <w:t xml:space="preserve">הנאשם וב"כ עו"ד שמעון אמיר </w:t>
            </w:r>
          </w:p>
          <w:p w:rsidR="00CD5DBC" w:rsidRDefault="00CD5DBC" w:rsidP="00CD5DBC">
            <w:pPr>
              <w:pStyle w:val="12"/>
              <w:rPr>
                <w:b w:val="0"/>
                <w:bCs w:val="0"/>
                <w:u w:val="none"/>
              </w:rPr>
            </w:pPr>
            <w:r>
              <w:rPr>
                <w:b w:val="0"/>
                <w:bCs w:val="0"/>
                <w:u w:val="none"/>
                <w:rtl/>
              </w:rPr>
              <w:t>ב"כ נפגע העבירה עו"ד קרן מכלוף טוליס</w:t>
            </w:r>
          </w:p>
          <w:p w:rsidR="0094424E" w:rsidRPr="00CD5DBC" w:rsidRDefault="0094424E" w:rsidP="00D44968">
            <w:pPr>
              <w:suppressLineNumbers/>
              <w:rPr>
                <w:rFonts w:ascii="Arial" w:hAnsi="Arial"/>
                <w:b/>
                <w:bCs/>
                <w:noProof w:val="0"/>
                <w:sz w:val="26"/>
                <w:szCs w:val="26"/>
              </w:rPr>
            </w:pPr>
          </w:p>
        </w:tc>
        <w:tc>
          <w:tcPr>
            <w:tcW w:w="5571" w:type="dxa"/>
          </w:tcPr>
          <w:p w:rsidR="00CF6BB7" w:rsidRPr="00CD516B" w:rsidRDefault="00CF6BB7" w:rsidP="00FE09EC">
            <w:pPr>
              <w:suppressLineNumbers/>
              <w:rPr>
                <w:rFonts w:ascii="Arial" w:hAnsi="Arial"/>
                <w:b/>
                <w:bCs/>
                <w:noProof w:val="0"/>
                <w:sz w:val="26"/>
                <w:szCs w:val="26"/>
                <w:rtl/>
              </w:rPr>
            </w:pPr>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CD5DBC" w:rsidRPr="00B62AD7" w:rsidRDefault="00623011"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sdt>
          </w:p>
          <w:tbl>
            <w:tblPr>
              <w:tblStyle w:val="ab"/>
              <w:bidiVisual/>
              <w:tblW w:w="8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02"/>
            </w:tblGrid>
            <w:tr w:rsidR="00CD5DBC" w:rsidTr="00CD5DBC">
              <w:tc>
                <w:tcPr>
                  <w:tcW w:w="8802" w:type="dxa"/>
                  <w:vAlign w:val="center"/>
                </w:tcPr>
                <w:p w:rsidR="00CD5DBC" w:rsidRPr="008F51A1" w:rsidRDefault="008F51A1" w:rsidP="00CD5DBC">
                  <w:pPr>
                    <w:jc w:val="center"/>
                    <w:rPr>
                      <w:rFonts w:ascii="Arial" w:hAnsi="Arial"/>
                      <w:u w:val="single"/>
                      <w:rtl/>
                    </w:rPr>
                  </w:pPr>
                  <w:r>
                    <w:rPr>
                      <w:rFonts w:ascii="Arial" w:hAnsi="Arial" w:hint="cs"/>
                      <w:u w:val="single"/>
                      <w:rtl/>
                    </w:rPr>
                    <w:t>נוסח זה של גזר הדין מותר בפרסום</w:t>
                  </w:r>
                </w:p>
              </w:tc>
            </w:tr>
          </w:tbl>
          <w:p w:rsidR="00CD5DBC" w:rsidRDefault="00CD5DBC" w:rsidP="00CD5DBC">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CD5DBC" w:rsidRDefault="00CD5DBC" w:rsidP="00CD5DBC">
            <w:pPr>
              <w:pStyle w:val="af"/>
              <w:numPr>
                <w:ilvl w:val="0"/>
                <w:numId w:val="2"/>
              </w:numPr>
              <w:spacing w:before="240" w:line="360" w:lineRule="auto"/>
              <w:contextualSpacing/>
              <w:jc w:val="both"/>
              <w:rPr>
                <w:rFonts w:asciiTheme="minorHAnsi" w:hAnsiTheme="minorHAnsi" w:cs="David"/>
                <w:b/>
                <w:bCs/>
                <w:u w:val="single"/>
                <w:rtl/>
              </w:rPr>
            </w:pPr>
            <w:r>
              <w:rPr>
                <w:rFonts w:ascii="David" w:hAnsi="David" w:cs="David"/>
                <w:rtl/>
              </w:rPr>
              <w:t>הנאשם הודה בעובדות כתב אישום שתוקן בשנית, במסגרת הסדר טיעון, והורשע בביצוע שתי עבירות של מעשה מגונה בקטין בן משפחה לפי סעיף 351(ג)(2) בנסיבות סעיף 345(ב)(1) יחד עם סעיף 345(א)(1) לחוק העונשין התשל"ז-1977 (להלן: "</w:t>
            </w:r>
            <w:r>
              <w:rPr>
                <w:rFonts w:ascii="David" w:hAnsi="David" w:cs="David"/>
                <w:b/>
                <w:bCs/>
                <w:rtl/>
              </w:rPr>
              <w:t>החוק</w:t>
            </w:r>
            <w:r>
              <w:rPr>
                <w:rFonts w:ascii="David" w:hAnsi="David" w:cs="David"/>
                <w:rtl/>
              </w:rPr>
              <w:t>"), וכן בביצוע שתי עבירות של גרם מעשה מגונה בקטין בן משפחה לפי סעיף 351(ג)(2) יחד עם סעיף 345(ב)(1) וסעיף 345(א)(1) בנסיבות סעיף 350 לחוק.</w:t>
            </w:r>
          </w:p>
          <w:p w:rsidR="00CD5DBC" w:rsidRDefault="00CD5DBC" w:rsidP="00CD5DBC">
            <w:pPr>
              <w:pStyle w:val="af"/>
              <w:spacing w:before="240" w:line="360" w:lineRule="auto"/>
              <w:contextualSpacing/>
              <w:jc w:val="both"/>
              <w:rPr>
                <w:rFonts w:asciiTheme="minorHAnsi" w:hAnsiTheme="minorHAnsi" w:cs="David"/>
                <w:b/>
                <w:bCs/>
                <w:u w:val="single"/>
              </w:rPr>
            </w:pPr>
            <w:r>
              <w:rPr>
                <w:rFonts w:ascii="David" w:hAnsi="David" w:cs="David"/>
                <w:rtl/>
              </w:rPr>
              <w:t xml:space="preserve"> </w:t>
            </w:r>
          </w:p>
          <w:p w:rsidR="00CD5DBC" w:rsidRDefault="00CD5DBC" w:rsidP="00CD5DBC">
            <w:pPr>
              <w:pStyle w:val="af"/>
              <w:numPr>
                <w:ilvl w:val="0"/>
                <w:numId w:val="2"/>
              </w:numPr>
              <w:spacing w:before="240" w:line="360" w:lineRule="auto"/>
              <w:contextualSpacing/>
              <w:jc w:val="both"/>
              <w:rPr>
                <w:rFonts w:ascii="David" w:hAnsi="David" w:cs="David"/>
              </w:rPr>
            </w:pPr>
            <w:r>
              <w:rPr>
                <w:rFonts w:ascii="David" w:hAnsi="David" w:cs="David"/>
                <w:rtl/>
              </w:rPr>
              <w:t xml:space="preserve">בהסדר הטיעון שנערך בין הצדדים הוסכם כי כל צד יהא חופשי בטיעוניו ואולם בכפוף להמלצת שירות המבחן בתסקיר שיוגש, ומעון "נווה מנשה" בו שוהה הנאשם כיום, ככל שיוטל עליו מאסר בפועל ירוצה במעון נעול מכוח סע' 19ד לחוק הסעד (טיפול באנשים עם מוגבלות שכלית-התפתחותית) התשכ"ט-1969) (להלן : </w:t>
            </w:r>
            <w:r>
              <w:rPr>
                <w:rFonts w:ascii="David" w:hAnsi="David" w:cs="David"/>
                <w:b/>
                <w:bCs/>
                <w:rtl/>
              </w:rPr>
              <w:t>"חוק הסעד"</w:t>
            </w:r>
            <w:r>
              <w:rPr>
                <w:rFonts w:ascii="David" w:hAnsi="David" w:cs="David"/>
                <w:rtl/>
              </w:rPr>
              <w:t>)</w:t>
            </w:r>
          </w:p>
          <w:p w:rsidR="00CD5DBC" w:rsidRDefault="00CD5DBC" w:rsidP="00CD5DBC">
            <w:pPr>
              <w:spacing w:before="240" w:line="360" w:lineRule="auto"/>
              <w:ind w:left="-494" w:firstLine="1214"/>
              <w:contextualSpacing/>
              <w:jc w:val="both"/>
              <w:rPr>
                <w:rFonts w:ascii="David" w:hAnsi="David"/>
                <w:b/>
                <w:bCs/>
                <w:u w:val="single"/>
              </w:rPr>
            </w:pPr>
            <w:r>
              <w:rPr>
                <w:rFonts w:hint="cs"/>
                <w:b/>
                <w:bCs/>
                <w:u w:val="single"/>
                <w:rtl/>
              </w:rPr>
              <w:t>עובדות כתב האישום המתוקן בשנית</w:t>
            </w:r>
          </w:p>
          <w:p w:rsidR="00CD5DBC" w:rsidRDefault="00CD5DBC" w:rsidP="00CD5DBC">
            <w:pPr>
              <w:pStyle w:val="af"/>
              <w:numPr>
                <w:ilvl w:val="0"/>
                <w:numId w:val="2"/>
              </w:numPr>
              <w:tabs>
                <w:tab w:val="right" w:pos="8306"/>
              </w:tabs>
              <w:spacing w:before="240" w:after="240" w:line="360" w:lineRule="auto"/>
              <w:jc w:val="both"/>
              <w:rPr>
                <w:rFonts w:ascii="David" w:hAnsi="David" w:cs="David"/>
                <w:b/>
                <w:bCs/>
                <w:u w:val="single"/>
                <w:rtl/>
              </w:rPr>
            </w:pPr>
            <w:r>
              <w:rPr>
                <w:rFonts w:ascii="David" w:hAnsi="David" w:cs="David"/>
                <w:rtl/>
              </w:rPr>
              <w:t xml:space="preserve">הנאשם, יליד שנת 1977, הוא דודו של הקטין יליד שנת 2014. בתקופה הרלוונטית התגורר הנאשם בבית אביו של הקטין בראשון לציון. </w:t>
            </w:r>
            <w:r>
              <w:rPr>
                <w:rFonts w:ascii="David" w:hAnsi="David" w:cs="David"/>
                <w:b/>
                <w:bCs/>
                <w:u w:val="single"/>
                <w:rtl/>
              </w:rPr>
              <w:t xml:space="preserve"> </w:t>
            </w:r>
          </w:p>
          <w:p w:rsidR="00CD5DBC" w:rsidRDefault="00CD5DBC" w:rsidP="00CD5DBC">
            <w:pPr>
              <w:pStyle w:val="af"/>
              <w:tabs>
                <w:tab w:val="right" w:pos="8306"/>
              </w:tabs>
              <w:spacing w:before="240" w:after="240" w:line="360" w:lineRule="auto"/>
              <w:jc w:val="both"/>
              <w:rPr>
                <w:rFonts w:ascii="David" w:hAnsi="David" w:cs="David"/>
              </w:rPr>
            </w:pPr>
            <w:r>
              <w:rPr>
                <w:rFonts w:ascii="David" w:hAnsi="David" w:cs="David"/>
                <w:rtl/>
              </w:rPr>
              <w:lastRenderedPageBreak/>
              <w:t xml:space="preserve">בתקופה שבין אוקטובר 2021 לבין אפריל 2022 (בעת שהקטין היה כבן 7) נגע הנאשם באיבר מינו של הקטין בהזדמנות אחת, עת שהה הקטין בחדרו. באותה הזדמנות, הורה הנאשם לקטין לגעת באיבר מינו של הנאשם והקטין, בהוראתו, שיפשף את איבר מינו,  לשם גירוי או סיפוק מיני.  </w:t>
            </w:r>
          </w:p>
          <w:p w:rsidR="00CD5DBC" w:rsidRDefault="00CD5DBC" w:rsidP="00CD5DBC">
            <w:pPr>
              <w:pStyle w:val="af"/>
              <w:tabs>
                <w:tab w:val="right" w:pos="8306"/>
              </w:tabs>
              <w:spacing w:before="240" w:after="240" w:line="360" w:lineRule="auto"/>
              <w:jc w:val="both"/>
              <w:rPr>
                <w:rFonts w:ascii="David" w:hAnsi="David" w:cs="David"/>
              </w:rPr>
            </w:pPr>
            <w:r>
              <w:rPr>
                <w:rFonts w:ascii="David" w:hAnsi="David" w:cs="David"/>
                <w:rtl/>
              </w:rPr>
              <w:t xml:space="preserve">בהזדמנות נוספת, במהלך אותה התקופה, עת שהה הקטין בבית, נכנס הנאשם להתקלח עם הקטין ובמהלך האמור נגע בגופו ושיפשף את איבר מינו של הקטין. כמו כן במהלך המתואר, הורה הנאשם לקטין לגעת באיבר מינו של הנאשם, תוך שהוא מדריכו כיצד לשפשף את איבר מינו, והקטין, בהוראתו, עשה כן, עד הגיע הנאשם לפורקן. </w:t>
            </w:r>
          </w:p>
          <w:p w:rsidR="00CD5DBC" w:rsidRDefault="00CD5DBC" w:rsidP="00CD5DBC">
            <w:pPr>
              <w:pStyle w:val="af"/>
              <w:spacing w:before="240" w:after="240" w:line="360" w:lineRule="auto"/>
              <w:jc w:val="both"/>
              <w:rPr>
                <w:rFonts w:ascii="David" w:hAnsi="David" w:cs="David"/>
                <w:rtl/>
              </w:rPr>
            </w:pPr>
            <w:r>
              <w:rPr>
                <w:rFonts w:ascii="David" w:hAnsi="David" w:cs="David"/>
                <w:b/>
                <w:bCs/>
                <w:u w:val="single"/>
                <w:rtl/>
              </w:rPr>
              <w:t>תסקיר שירות המבחן</w:t>
            </w:r>
            <w:r>
              <w:rPr>
                <w:rFonts w:ascii="David" w:hAnsi="David" w:cs="David"/>
                <w:rtl/>
              </w:rPr>
              <w:t xml:space="preserve"> </w:t>
            </w:r>
          </w:p>
          <w:p w:rsidR="00CD5DBC" w:rsidRDefault="008F51A1" w:rsidP="008F51A1">
            <w:pPr>
              <w:pStyle w:val="af"/>
              <w:numPr>
                <w:ilvl w:val="0"/>
                <w:numId w:val="2"/>
              </w:numPr>
              <w:tabs>
                <w:tab w:val="right" w:pos="8306"/>
              </w:tabs>
              <w:spacing w:before="240" w:after="240" w:line="360" w:lineRule="auto"/>
              <w:jc w:val="both"/>
              <w:rPr>
                <w:rFonts w:ascii="David" w:hAnsi="David" w:cs="David"/>
                <w:rtl/>
              </w:rPr>
            </w:pPr>
            <w:r>
              <w:rPr>
                <w:rFonts w:ascii="David" w:hAnsi="David" w:cs="David" w:hint="cs"/>
                <w:rtl/>
              </w:rPr>
              <w:t>[הושמט]</w:t>
            </w:r>
            <w:r w:rsidR="00CD5DBC">
              <w:rPr>
                <w:rFonts w:ascii="David" w:hAnsi="David" w:cs="David"/>
                <w:rtl/>
              </w:rPr>
              <w:t xml:space="preserve">. </w:t>
            </w:r>
          </w:p>
          <w:p w:rsidR="00CD5DBC" w:rsidRDefault="00CD5DBC" w:rsidP="00CD5DBC">
            <w:pPr>
              <w:pStyle w:val="af"/>
              <w:spacing w:before="240" w:after="240" w:line="360" w:lineRule="auto"/>
              <w:jc w:val="both"/>
              <w:rPr>
                <w:rFonts w:ascii="David" w:hAnsi="David" w:cs="David"/>
                <w:b/>
                <w:bCs/>
                <w:u w:val="single"/>
                <w:rtl/>
              </w:rPr>
            </w:pPr>
            <w:r>
              <w:rPr>
                <w:rFonts w:ascii="David" w:hAnsi="David" w:cs="David"/>
                <w:b/>
                <w:bCs/>
                <w:u w:val="single"/>
                <w:rtl/>
              </w:rPr>
              <w:t xml:space="preserve">תסקיר נפגע העבירה </w:t>
            </w:r>
          </w:p>
          <w:p w:rsidR="00CD5DBC" w:rsidRDefault="008F51A1" w:rsidP="008F51A1">
            <w:pPr>
              <w:pStyle w:val="af"/>
              <w:numPr>
                <w:ilvl w:val="0"/>
                <w:numId w:val="2"/>
              </w:numPr>
              <w:tabs>
                <w:tab w:val="right" w:pos="8306"/>
              </w:tabs>
              <w:spacing w:before="240" w:after="240" w:line="360" w:lineRule="auto"/>
              <w:jc w:val="both"/>
              <w:rPr>
                <w:rFonts w:ascii="David" w:hAnsi="David" w:cs="David"/>
              </w:rPr>
            </w:pPr>
            <w:r>
              <w:rPr>
                <w:rFonts w:ascii="David" w:hAnsi="David" w:cs="David" w:hint="cs"/>
                <w:rtl/>
              </w:rPr>
              <w:t>[הושמט]</w:t>
            </w:r>
            <w:r w:rsidR="00CD5DBC">
              <w:rPr>
                <w:rFonts w:ascii="David" w:hAnsi="David" w:cs="David"/>
                <w:rtl/>
              </w:rPr>
              <w:t>.</w:t>
            </w:r>
          </w:p>
          <w:p w:rsidR="00CD5DBC" w:rsidRDefault="00CD5DBC" w:rsidP="00CD5DBC">
            <w:pPr>
              <w:pStyle w:val="af"/>
              <w:tabs>
                <w:tab w:val="right" w:pos="8306"/>
              </w:tabs>
              <w:spacing w:before="240" w:after="240" w:line="360" w:lineRule="auto"/>
              <w:jc w:val="both"/>
              <w:rPr>
                <w:rFonts w:ascii="David" w:hAnsi="David" w:cs="David"/>
                <w:b/>
                <w:bCs/>
                <w:u w:val="single"/>
              </w:rPr>
            </w:pPr>
            <w:r>
              <w:rPr>
                <w:rFonts w:ascii="David" w:hAnsi="David" w:cs="David"/>
                <w:b/>
                <w:bCs/>
                <w:u w:val="single"/>
                <w:rtl/>
              </w:rPr>
              <w:t>תמצית טיעוני הצדדים לעונש</w:t>
            </w:r>
          </w:p>
          <w:p w:rsidR="00CD5DBC" w:rsidRDefault="00CD5DBC" w:rsidP="00CD5DBC">
            <w:pPr>
              <w:pStyle w:val="af"/>
              <w:numPr>
                <w:ilvl w:val="0"/>
                <w:numId w:val="2"/>
              </w:numPr>
              <w:tabs>
                <w:tab w:val="left" w:pos="720"/>
                <w:tab w:val="right" w:pos="8306"/>
              </w:tabs>
              <w:spacing w:before="240" w:after="240" w:line="360" w:lineRule="auto"/>
              <w:jc w:val="both"/>
              <w:rPr>
                <w:rFonts w:ascii="David" w:hAnsi="David" w:cs="David"/>
              </w:rPr>
            </w:pPr>
            <w:r>
              <w:rPr>
                <w:rFonts w:ascii="David" w:hAnsi="David" w:cs="David"/>
                <w:b/>
                <w:bCs/>
                <w:rtl/>
              </w:rPr>
              <w:t>ב"כ המאשימה</w:t>
            </w:r>
            <w:r>
              <w:rPr>
                <w:rFonts w:ascii="David" w:hAnsi="David" w:cs="David"/>
                <w:rtl/>
              </w:rPr>
              <w:t xml:space="preserve">, </w:t>
            </w:r>
            <w:r>
              <w:rPr>
                <w:rFonts w:ascii="David" w:hAnsi="David" w:cs="David"/>
                <w:b/>
                <w:bCs/>
                <w:rtl/>
              </w:rPr>
              <w:t>עו"ד גל רוזנצוויג</w:t>
            </w:r>
            <w:r>
              <w:rPr>
                <w:rFonts w:ascii="David" w:hAnsi="David" w:cs="David"/>
                <w:rtl/>
              </w:rPr>
              <w:t xml:space="preserve">, התייחס לנסיבות ביצוע העבירות כמפורט בכתב האישום, בהדגישו כי בוצעו על ידי הנאשם, נעדר עבר פלילי, דודו של הקטין, שהיה כבן 45 בעת ביצוע המעשים בעוד הקטין בן כ-8 שנים. בצד האמור התייחס לנסיבותיו האישיות של הנאשם, היותו מאובחן ברמה גבולית אך מתפקדת, היעדר עבר פלילי והודייתו תוך חיסכון בזמן שיפוטי. </w:t>
            </w:r>
          </w:p>
          <w:p w:rsidR="00CD5DBC" w:rsidRDefault="00CD5DBC" w:rsidP="00CD5DBC">
            <w:pPr>
              <w:pStyle w:val="af"/>
              <w:tabs>
                <w:tab w:val="left" w:pos="720"/>
                <w:tab w:val="right" w:pos="8306"/>
              </w:tabs>
              <w:spacing w:before="240" w:after="240" w:line="360" w:lineRule="auto"/>
              <w:jc w:val="both"/>
              <w:rPr>
                <w:rFonts w:ascii="David" w:hAnsi="David" w:cs="David"/>
              </w:rPr>
            </w:pPr>
            <w:r>
              <w:rPr>
                <w:rFonts w:ascii="David" w:hAnsi="David" w:cs="David"/>
                <w:rtl/>
              </w:rPr>
              <w:t xml:space="preserve">עוד עמד על העולה מהתסקיר כי לנאשם עיוותי חשיבה, דחפים ומשיכה לקטינים, הוא זקוק למסגרת סגורה נוכח רמת סיכון לא מבוטלת הנשקפת ממנו, וכי שירות המבחן המליץ על מאסר במעון נעול תוך שילובו בטיפול. לצד זאת, עלה כי הנאשם ביטא צער וחרטה על מעשיו. </w:t>
            </w:r>
          </w:p>
          <w:p w:rsidR="00CD5DBC" w:rsidRDefault="00CD5DBC" w:rsidP="00CD5DBC">
            <w:pPr>
              <w:tabs>
                <w:tab w:val="left" w:pos="720"/>
              </w:tabs>
              <w:spacing w:before="240" w:after="240" w:line="360" w:lineRule="auto"/>
              <w:ind w:left="720"/>
              <w:jc w:val="both"/>
              <w:rPr>
                <w:rFonts w:ascii="David" w:hAnsi="David"/>
                <w:rtl/>
              </w:rPr>
            </w:pPr>
            <w:r>
              <w:rPr>
                <w:rFonts w:hint="cs"/>
                <w:rtl/>
              </w:rPr>
              <w:t xml:space="preserve">ב"כ המאשימה הדגיש את ההשלכות המשמעותיות של הפגיעה בקטין, הקושי במתן אמון כדי להסתייע בטיפול, והשפעת הפגיעה על כל התא המשפחתי.  </w:t>
            </w:r>
          </w:p>
          <w:p w:rsidR="00CD5DBC" w:rsidRDefault="00CD5DBC" w:rsidP="00CD5DBC">
            <w:pPr>
              <w:pStyle w:val="af"/>
              <w:spacing w:before="240" w:after="240" w:line="360" w:lineRule="auto"/>
              <w:jc w:val="both"/>
              <w:rPr>
                <w:rFonts w:ascii="David" w:hAnsi="David" w:cs="David"/>
                <w:rtl/>
              </w:rPr>
            </w:pPr>
            <w:r>
              <w:rPr>
                <w:rFonts w:ascii="David" w:hAnsi="David" w:cs="David"/>
                <w:rtl/>
              </w:rPr>
              <w:t xml:space="preserve">ב"כ המאשימה עתר לקבוע </w:t>
            </w:r>
            <w:r>
              <w:rPr>
                <w:rFonts w:ascii="David" w:hAnsi="David" w:cs="David"/>
                <w:b/>
                <w:bCs/>
                <w:rtl/>
              </w:rPr>
              <w:t>את מתחם העונש ההולם בטווח הנע בין 5 ל- 8 שנות מאסר</w:t>
            </w:r>
            <w:r>
              <w:rPr>
                <w:rFonts w:ascii="David" w:hAnsi="David" w:cs="David"/>
                <w:rtl/>
              </w:rPr>
              <w:t xml:space="preserve">, לצד מאסר מותנה ופיצוי משמעותי לנפגע העבירה, בהתחשב בין היתר בחומרת נסיבות ביצוע העבירות, הנזק שנגרם לקטין וכן בעונש המזערי הקבוע בחוק (3 שנים ותשעה חודשים), בהגישו פסיקה התומכת לשיטתו, במתחם זה. </w:t>
            </w:r>
          </w:p>
          <w:p w:rsidR="00CD5DBC" w:rsidRDefault="00CD5DBC" w:rsidP="00CD5DBC">
            <w:pPr>
              <w:pStyle w:val="af"/>
              <w:spacing w:before="240" w:after="240" w:line="360" w:lineRule="auto"/>
              <w:jc w:val="both"/>
              <w:rPr>
                <w:rFonts w:ascii="David" w:hAnsi="David" w:cs="David"/>
                <w:b/>
                <w:bCs/>
                <w:rtl/>
              </w:rPr>
            </w:pPr>
            <w:r>
              <w:rPr>
                <w:rFonts w:ascii="David" w:hAnsi="David" w:cs="David"/>
                <w:rtl/>
              </w:rPr>
              <w:t xml:space="preserve">הוא עתר לעונש </w:t>
            </w:r>
            <w:r>
              <w:rPr>
                <w:rFonts w:ascii="David" w:hAnsi="David" w:cs="David"/>
                <w:b/>
                <w:bCs/>
                <w:rtl/>
              </w:rPr>
              <w:t>בתחתית המתחם</w:t>
            </w:r>
            <w:r>
              <w:rPr>
                <w:rFonts w:ascii="David" w:hAnsi="David" w:cs="David"/>
                <w:rtl/>
              </w:rPr>
              <w:t xml:space="preserve"> לאור מכלול הנסיבות לקולה וחזר על הסכמת המאשימה לריצוי המאסר במעון נעול.  </w:t>
            </w:r>
          </w:p>
          <w:p w:rsidR="00CD5DBC" w:rsidRDefault="00CD5DBC" w:rsidP="00CD5DBC">
            <w:pPr>
              <w:pStyle w:val="af"/>
              <w:numPr>
                <w:ilvl w:val="0"/>
                <w:numId w:val="2"/>
              </w:numPr>
              <w:spacing w:before="240" w:after="240" w:line="360" w:lineRule="auto"/>
              <w:jc w:val="both"/>
              <w:rPr>
                <w:rFonts w:ascii="David" w:hAnsi="David" w:cs="David"/>
                <w:rtl/>
              </w:rPr>
            </w:pPr>
            <w:r>
              <w:rPr>
                <w:rFonts w:ascii="David" w:hAnsi="David" w:cs="David"/>
                <w:b/>
                <w:bCs/>
                <w:rtl/>
              </w:rPr>
              <w:lastRenderedPageBreak/>
              <w:t>ב"כ הנאשם</w:t>
            </w:r>
            <w:r>
              <w:rPr>
                <w:rFonts w:ascii="David" w:hAnsi="David" w:cs="David"/>
                <w:rtl/>
              </w:rPr>
              <w:t xml:space="preserve">, </w:t>
            </w:r>
            <w:r>
              <w:rPr>
                <w:rFonts w:ascii="David" w:hAnsi="David" w:cs="David"/>
                <w:b/>
                <w:bCs/>
                <w:rtl/>
              </w:rPr>
              <w:t>עו"ד שמעון אמיר</w:t>
            </w:r>
            <w:r>
              <w:rPr>
                <w:rFonts w:ascii="David" w:hAnsi="David" w:cs="David"/>
                <w:rtl/>
              </w:rPr>
              <w:t xml:space="preserve">, ציין כי מדובר בנאשם בן 47 נעדר עבר פלילי שהביע צער על מעשיו, ועד לאירועים הנדונים עבד בדואר שנים רבות. עוד התייחס לתגובתם המהירה של בני משפחת הנאשם, שעם חשיפת האירועים לקחו את הנאשם לטיפול פסיכיאטרי ולא טמנו ראשם בחול. </w:t>
            </w:r>
          </w:p>
          <w:p w:rsidR="00CD5DBC" w:rsidRDefault="00CD5DBC" w:rsidP="00CD5DBC">
            <w:pPr>
              <w:pStyle w:val="af"/>
              <w:spacing w:before="240" w:after="240" w:line="360" w:lineRule="auto"/>
              <w:jc w:val="both"/>
              <w:rPr>
                <w:rFonts w:cs="David"/>
              </w:rPr>
            </w:pPr>
            <w:r>
              <w:rPr>
                <w:rFonts w:ascii="David" w:hAnsi="David" w:cs="David"/>
                <w:rtl/>
              </w:rPr>
              <w:t xml:space="preserve">ב"כ הנאשם טען להגנה מן הצדק על רקע הפרת זכותו של הנאשם לחוקר מיוחד בשלב מעצרו לצרכי החקירה, למרות האינדיקציות </w:t>
            </w:r>
            <w:r>
              <w:rPr>
                <w:rFonts w:cs="David"/>
                <w:rtl/>
              </w:rPr>
              <w:t xml:space="preserve">שהיו למשטרה בנוגע למצבו הקוגניטיבי וחרף הוראת בית משפט בהקשר זה ובדבר מנוי חוקר מיוחד (צורף וסומן </w:t>
            </w:r>
            <w:r>
              <w:rPr>
                <w:rFonts w:cs="David"/>
                <w:b/>
                <w:bCs/>
                <w:rtl/>
              </w:rPr>
              <w:t>ע/2)</w:t>
            </w:r>
            <w:r>
              <w:rPr>
                <w:rFonts w:cs="David"/>
                <w:rtl/>
              </w:rPr>
              <w:t xml:space="preserve">. גם מטעם זה עתר להקל בעונשו של הנאשם. </w:t>
            </w:r>
          </w:p>
          <w:p w:rsidR="00CD5DBC" w:rsidRDefault="00CD5DBC" w:rsidP="00CD5DBC">
            <w:pPr>
              <w:spacing w:before="240" w:after="240" w:line="360" w:lineRule="auto"/>
              <w:ind w:left="720"/>
              <w:jc w:val="both"/>
              <w:rPr>
                <w:rtl/>
              </w:rPr>
            </w:pPr>
            <w:r>
              <w:rPr>
                <w:rFonts w:hint="cs"/>
                <w:rtl/>
              </w:rPr>
              <w:t>אשר למתחם, ציין כי מדובר במי שיש לו קרבה לסייג, שכן מאובחן במצב גבולי, ולא בכדי הסכימה המאשימה שירצה את עונשו במעון נעול. גם אם מצבו המיוחד אינו מצדיק פטור מאחריות פלילית עדיין יש מקום, לגישתו, להקל בעונשו על רקע מצבו המיוחד.</w:t>
            </w:r>
          </w:p>
          <w:p w:rsidR="00CD5DBC" w:rsidRDefault="00CD5DBC" w:rsidP="00CD5DBC">
            <w:pPr>
              <w:spacing w:line="360" w:lineRule="auto"/>
              <w:ind w:left="720"/>
              <w:jc w:val="both"/>
              <w:rPr>
                <w:rtl/>
              </w:rPr>
            </w:pPr>
            <w:r>
              <w:rPr>
                <w:rFonts w:hint="cs"/>
                <w:rtl/>
              </w:rPr>
              <w:t xml:space="preserve">ב"כ הנאשם הדגיש כי עפ"י התסקיר סיכויי שיקומו גבוהים ולכן, ראוי לשיטתו, להקל בעונש ולחרוג ממתחם הענישה. ב"כ הנאשם סמך ידיו על פסק דין אחר של מותב זה (תפ"ח 27796-06-20 </w:t>
            </w:r>
            <w:r>
              <w:rPr>
                <w:rFonts w:hint="cs"/>
                <w:b/>
                <w:bCs/>
                <w:rtl/>
              </w:rPr>
              <w:t>מדינת ישראל נ' פלוני)</w:t>
            </w:r>
            <w:r>
              <w:rPr>
                <w:rFonts w:hint="cs"/>
                <w:rtl/>
              </w:rPr>
              <w:t xml:space="preserve"> ומדיניות הענישה המפורטת בו והגיש מסמכים בנוגע למצבו הרפואי המורכב של אבי-הנאשם (</w:t>
            </w:r>
            <w:r>
              <w:rPr>
                <w:rFonts w:hint="cs"/>
                <w:b/>
                <w:bCs/>
                <w:rtl/>
              </w:rPr>
              <w:t>ע/1).</w:t>
            </w:r>
          </w:p>
          <w:p w:rsidR="00CD5DBC" w:rsidRDefault="00CD5DBC" w:rsidP="00CD5DBC">
            <w:pPr>
              <w:spacing w:line="360" w:lineRule="auto"/>
              <w:ind w:left="720"/>
              <w:jc w:val="both"/>
              <w:rPr>
                <w:rtl/>
              </w:rPr>
            </w:pPr>
          </w:p>
          <w:p w:rsidR="00CD5DBC" w:rsidRDefault="00CD5DBC" w:rsidP="00CD5DBC">
            <w:pPr>
              <w:spacing w:line="360" w:lineRule="auto"/>
              <w:ind w:left="720"/>
              <w:jc w:val="both"/>
              <w:rPr>
                <w:rtl/>
              </w:rPr>
            </w:pPr>
            <w:r>
              <w:rPr>
                <w:rFonts w:hint="cs"/>
                <w:rtl/>
              </w:rPr>
              <w:t xml:space="preserve">עוד עתר ב"כ הנאשם להתחשב בתקופה שבה שהה הנאשם מאחורי סורג ובריח (יותר משלושה חודשים), ובתקופה ארוכה מאוד בה שוהה במעון, כשנראה כי הוא מתפקד, סיכויי שיקומו גבוהים, וניתן גם להתרשם מהאותנטיות שלו ומרצונו האמיתי להשתקם.  </w:t>
            </w:r>
          </w:p>
          <w:p w:rsidR="00CD5DBC" w:rsidRDefault="00CD5DBC" w:rsidP="00CD5DBC">
            <w:pPr>
              <w:spacing w:line="360" w:lineRule="auto"/>
              <w:ind w:left="720"/>
              <w:jc w:val="both"/>
              <w:rPr>
                <w:rtl/>
              </w:rPr>
            </w:pPr>
            <w:r>
              <w:rPr>
                <w:rFonts w:hint="cs"/>
                <w:rtl/>
              </w:rPr>
              <w:t xml:space="preserve">לאור האמור עתר ב"כ הנאשם לחרוג ממתחם העונש ההולם, בסוברו כי המתחם (בניכוי ימי מעצרו) </w:t>
            </w:r>
            <w:r>
              <w:rPr>
                <w:rFonts w:hint="cs"/>
                <w:b/>
                <w:bCs/>
                <w:rtl/>
              </w:rPr>
              <w:t>נע בין 9 לבין 15 חודשי מאסר</w:t>
            </w:r>
            <w:r>
              <w:rPr>
                <w:rFonts w:hint="cs"/>
                <w:rtl/>
              </w:rPr>
              <w:t xml:space="preserve">.  </w:t>
            </w:r>
          </w:p>
          <w:p w:rsidR="00CD5DBC" w:rsidRDefault="00CD5DBC" w:rsidP="00CD5DBC">
            <w:pPr>
              <w:spacing w:before="240" w:after="240" w:line="360" w:lineRule="auto"/>
              <w:ind w:left="360" w:firstLine="360"/>
              <w:jc w:val="both"/>
              <w:rPr>
                <w:rFonts w:ascii="David" w:eastAsia="David" w:hAnsi="David"/>
                <w:b/>
                <w:bCs/>
                <w:u w:val="single"/>
                <w:rtl/>
              </w:rPr>
            </w:pPr>
            <w:r>
              <w:rPr>
                <w:rFonts w:hint="cs"/>
                <w:b/>
                <w:bCs/>
                <w:u w:val="single"/>
                <w:rtl/>
              </w:rPr>
              <w:t>דבר הנאשם</w:t>
            </w:r>
          </w:p>
          <w:p w:rsidR="00CD5DBC" w:rsidRDefault="00CD5DBC" w:rsidP="00CD5DBC">
            <w:pPr>
              <w:pStyle w:val="af"/>
              <w:numPr>
                <w:ilvl w:val="0"/>
                <w:numId w:val="2"/>
              </w:numPr>
              <w:tabs>
                <w:tab w:val="right" w:pos="8306"/>
              </w:tabs>
              <w:spacing w:before="240" w:after="240" w:line="360" w:lineRule="auto"/>
              <w:jc w:val="both"/>
              <w:rPr>
                <w:rFonts w:cs="David"/>
              </w:rPr>
            </w:pPr>
            <w:r>
              <w:rPr>
                <w:rFonts w:ascii="David" w:hAnsi="David" w:cs="David"/>
                <w:rtl/>
              </w:rPr>
              <w:t xml:space="preserve">הנאשם הביע בבכי צער וחרטה על מעשיו, ואת הכאב שהוא חש נוכח ביצועם. הוא הדגיש בנוסף את רצונו בטיפול ורצונו להמשיך ולשהות </w:t>
            </w:r>
            <w:r>
              <w:rPr>
                <w:rFonts w:cs="David"/>
                <w:rtl/>
              </w:rPr>
              <w:t xml:space="preserve">ב"נווה מנשה" לשם מיצוי הליך זה. </w:t>
            </w:r>
          </w:p>
          <w:p w:rsidR="00CD5DBC" w:rsidRDefault="00CD5DBC" w:rsidP="00CD5DBC">
            <w:pPr>
              <w:spacing w:line="360" w:lineRule="auto"/>
              <w:ind w:firstLine="720"/>
              <w:jc w:val="both"/>
              <w:rPr>
                <w:b/>
                <w:bCs/>
                <w:sz w:val="28"/>
                <w:szCs w:val="28"/>
                <w:u w:val="single"/>
                <w:rtl/>
              </w:rPr>
            </w:pPr>
            <w:r>
              <w:rPr>
                <w:rFonts w:hint="cs"/>
                <w:b/>
                <w:bCs/>
                <w:sz w:val="28"/>
                <w:szCs w:val="28"/>
                <w:u w:val="single"/>
                <w:rtl/>
              </w:rPr>
              <w:t>דיון והכרעה</w:t>
            </w:r>
          </w:p>
          <w:p w:rsidR="00CD5DBC" w:rsidRDefault="00CD5DBC" w:rsidP="00CD5DBC">
            <w:pPr>
              <w:spacing w:before="240" w:after="240" w:line="360" w:lineRule="auto"/>
              <w:ind w:left="360" w:firstLine="360"/>
              <w:jc w:val="both"/>
              <w:rPr>
                <w:rFonts w:eastAsia="David"/>
                <w:b/>
                <w:bCs/>
                <w:u w:val="single"/>
                <w:rtl/>
              </w:rPr>
            </w:pPr>
            <w:r>
              <w:rPr>
                <w:rFonts w:hint="cs"/>
                <w:b/>
                <w:bCs/>
                <w:u w:val="single"/>
                <w:rtl/>
              </w:rPr>
              <w:t>מתחם העונש ההולם</w:t>
            </w:r>
          </w:p>
          <w:p w:rsidR="00CD5DBC" w:rsidRDefault="00CD5DBC" w:rsidP="00CD5DBC">
            <w:pPr>
              <w:pStyle w:val="af"/>
              <w:numPr>
                <w:ilvl w:val="0"/>
                <w:numId w:val="2"/>
              </w:numPr>
              <w:tabs>
                <w:tab w:val="right" w:pos="8306"/>
              </w:tabs>
              <w:spacing w:before="240" w:after="240" w:line="360" w:lineRule="auto"/>
              <w:jc w:val="both"/>
              <w:rPr>
                <w:rFonts w:ascii="David" w:hAnsi="David" w:cs="David"/>
                <w:b/>
                <w:bCs/>
                <w:sz w:val="28"/>
                <w:szCs w:val="28"/>
                <w:u w:val="single"/>
                <w:rtl/>
              </w:rPr>
            </w:pPr>
            <w:r>
              <w:rPr>
                <w:rFonts w:ascii="David" w:hAnsi="David" w:cs="David"/>
                <w:rtl/>
              </w:rPr>
              <w:t xml:space="preserve">על פי מבחני הפסיקה (ע"פ 4910/13 </w:t>
            </w:r>
            <w:r>
              <w:rPr>
                <w:rFonts w:cs="David"/>
                <w:rtl/>
              </w:rPr>
              <w:t>ג'אבר נ' מדינת ישראל</w:t>
            </w:r>
            <w:r>
              <w:rPr>
                <w:rFonts w:ascii="David" w:hAnsi="David" w:cs="David"/>
                <w:rtl/>
              </w:rPr>
              <w:t xml:space="preserve"> (29.10.2014)) ובנסיבותיו של תיק זה, ראינו לקבוע מתחם עונש הולם אחד לכלל העבירות בהן הורשע הנאשם, משמדובר במספר מעשים שנעשו באותו הקטין, כחלק מאותה תכנית עבריינית. </w:t>
            </w:r>
          </w:p>
          <w:p w:rsidR="00CD5DBC" w:rsidRDefault="00CD5DBC" w:rsidP="00CD5DBC">
            <w:pPr>
              <w:spacing w:before="240" w:after="240" w:line="360" w:lineRule="auto"/>
              <w:ind w:left="360" w:firstLine="360"/>
              <w:jc w:val="both"/>
              <w:rPr>
                <w:rFonts w:ascii="David" w:hAnsi="David"/>
                <w:b/>
                <w:bCs/>
                <w:u w:val="single"/>
              </w:rPr>
            </w:pPr>
            <w:r>
              <w:rPr>
                <w:rFonts w:hint="cs"/>
                <w:b/>
                <w:bCs/>
                <w:u w:val="single"/>
                <w:rtl/>
              </w:rPr>
              <w:lastRenderedPageBreak/>
              <w:t>הערך החברתי שנפגע ומידת הפגיעה בו</w:t>
            </w:r>
          </w:p>
          <w:p w:rsidR="00CD5DBC" w:rsidRDefault="00CD5DBC" w:rsidP="00CD5DBC">
            <w:pPr>
              <w:pStyle w:val="af"/>
              <w:numPr>
                <w:ilvl w:val="0"/>
                <w:numId w:val="2"/>
              </w:numPr>
              <w:tabs>
                <w:tab w:val="right" w:pos="8306"/>
              </w:tabs>
              <w:spacing w:before="240" w:after="240" w:line="360" w:lineRule="auto"/>
              <w:jc w:val="both"/>
              <w:rPr>
                <w:rFonts w:ascii="David" w:hAnsi="David" w:cs="David"/>
                <w:rtl/>
              </w:rPr>
            </w:pPr>
            <w:r>
              <w:rPr>
                <w:rFonts w:ascii="David" w:hAnsi="David" w:cs="David"/>
                <w:rtl/>
              </w:rPr>
              <w:t xml:space="preserve">הערכים שנפגעו כתוצאה ממעשי הנאשם בקטין, הם, ערך כבוד האדם וההגנה על שלמות הגוף והנפש של קטינים, הפגיעה באוטונומיה של הקטין, ותחושת הביטחון האישי בתא המשפחתי. </w:t>
            </w:r>
          </w:p>
          <w:p w:rsidR="00CD5DBC" w:rsidRDefault="00CD5DBC" w:rsidP="00CD5DBC">
            <w:pPr>
              <w:pStyle w:val="af"/>
              <w:numPr>
                <w:ilvl w:val="0"/>
                <w:numId w:val="2"/>
              </w:numPr>
              <w:tabs>
                <w:tab w:val="right" w:pos="8306"/>
              </w:tabs>
              <w:spacing w:before="240" w:after="240" w:line="360" w:lineRule="auto"/>
              <w:jc w:val="both"/>
              <w:rPr>
                <w:rFonts w:ascii="David" w:hAnsi="David" w:cs="David"/>
              </w:rPr>
            </w:pPr>
            <w:r>
              <w:rPr>
                <w:rFonts w:ascii="David" w:hAnsi="David" w:cs="David"/>
                <w:rtl/>
              </w:rPr>
              <w:t xml:space="preserve">חומרה יתירה נודעת לביצוע עבירות מין בקטינים בתוך התא המשפחתי והלכה היא כי יש ליתן ביטוי לחומרה יתירה זו בענישה מחמירה אשר תבטא את ההוקעה החברתית והפסול המוסרי שבמעשים. </w:t>
            </w:r>
          </w:p>
          <w:p w:rsidR="00CD5DBC" w:rsidRPr="008F51A1" w:rsidRDefault="00CD5DBC" w:rsidP="00CD5DBC">
            <w:pPr>
              <w:pStyle w:val="Ruller40"/>
              <w:rPr>
                <w:rFonts w:ascii="David" w:hAnsi="David" w:cs="David"/>
                <w:spacing w:val="0"/>
                <w:sz w:val="24"/>
                <w:szCs w:val="24"/>
                <w:lang w:val="en-US" w:eastAsia="en-US"/>
              </w:rPr>
            </w:pPr>
            <w:r>
              <w:rPr>
                <w:rFonts w:ascii="Century" w:hAnsi="Century"/>
                <w:rtl/>
              </w:rPr>
              <w:tab/>
            </w:r>
            <w:r w:rsidRPr="008F51A1">
              <w:rPr>
                <w:rFonts w:ascii="David" w:hAnsi="David" w:cs="David"/>
                <w:spacing w:val="0"/>
                <w:sz w:val="24"/>
                <w:szCs w:val="24"/>
                <w:rtl/>
                <w:lang w:val="en-US" w:eastAsia="en-US"/>
              </w:rPr>
              <w:t xml:space="preserve">בע"פ 5808/14 </w:t>
            </w:r>
            <w:r w:rsidRPr="008F51A1">
              <w:rPr>
                <w:rFonts w:ascii="David" w:hAnsi="David" w:cs="David"/>
                <w:b/>
                <w:bCs/>
                <w:spacing w:val="0"/>
                <w:sz w:val="24"/>
                <w:szCs w:val="24"/>
                <w:rtl/>
                <w:lang w:val="en-US" w:eastAsia="en-US"/>
              </w:rPr>
              <w:t>פלוני נ' מדינת ישראל</w:t>
            </w:r>
            <w:r w:rsidRPr="008F51A1">
              <w:rPr>
                <w:rFonts w:ascii="David" w:hAnsi="David" w:cs="David"/>
                <w:spacing w:val="0"/>
                <w:sz w:val="24"/>
                <w:szCs w:val="24"/>
                <w:rtl/>
                <w:lang w:val="en-US" w:eastAsia="en-US"/>
              </w:rPr>
              <w:t xml:space="preserve"> (מיום 7.10.2015) נאמר: </w:t>
            </w:r>
          </w:p>
          <w:p w:rsidR="00CD5DBC" w:rsidRPr="008F51A1" w:rsidRDefault="00CD5DBC" w:rsidP="00CD5DBC">
            <w:pPr>
              <w:spacing w:before="240" w:after="240" w:line="360" w:lineRule="auto"/>
              <w:ind w:left="720"/>
              <w:jc w:val="both"/>
              <w:rPr>
                <w:rFonts w:ascii="David" w:hAnsi="David"/>
                <w:rtl/>
              </w:rPr>
            </w:pPr>
            <w:r w:rsidRPr="008F51A1">
              <w:rPr>
                <w:rFonts w:ascii="David" w:hAnsi="David"/>
                <w:b/>
                <w:bCs/>
                <w:rtl/>
              </w:rPr>
              <w:t>"בית משפט זה עמד לא אחת על חומרתן הרבה של עבירות מין במשפחה ועל חובתו "להשיב על עבירות אלו בענישה משמעותית, כגמול על מעשיו של העבריין וכביטוי לסלידתה של החברה ממעשים אלו" (</w:t>
            </w:r>
            <w:r w:rsidRPr="008F51A1">
              <w:rPr>
                <w:rFonts w:ascii="David" w:hAnsi="David" w:hint="cs"/>
                <w:b/>
                <w:bCs/>
                <w:rtl/>
              </w:rPr>
              <w:t>ע"פ 677/09</w:t>
            </w:r>
            <w:r w:rsidRPr="008F51A1">
              <w:rPr>
                <w:rFonts w:ascii="David" w:hAnsi="David"/>
                <w:b/>
                <w:bCs/>
                <w:rtl/>
              </w:rPr>
              <w:t xml:space="preserve"> פלוני נ' מדינת ישראל, ... (25.10.2009); </w:t>
            </w:r>
            <w:r w:rsidRPr="008F51A1">
              <w:rPr>
                <w:rFonts w:ascii="David" w:hAnsi="David" w:hint="cs"/>
                <w:b/>
                <w:bCs/>
                <w:rtl/>
              </w:rPr>
              <w:t>ע"פ 7461/05</w:t>
            </w:r>
            <w:r w:rsidRPr="008F51A1">
              <w:rPr>
                <w:rFonts w:ascii="David" w:hAnsi="David"/>
                <w:b/>
                <w:bCs/>
                <w:rtl/>
              </w:rPr>
              <w:t xml:space="preserve"> דדוש נ' מדינת ישראל ... (30.4.2006)) " (</w:t>
            </w:r>
            <w:r w:rsidRPr="008F51A1">
              <w:rPr>
                <w:rFonts w:ascii="David" w:hAnsi="David"/>
                <w:rtl/>
              </w:rPr>
              <w:t xml:space="preserve">פסקה 22) </w:t>
            </w:r>
          </w:p>
          <w:p w:rsidR="00CD5DBC" w:rsidRDefault="00CD5DBC" w:rsidP="00CD5DBC">
            <w:pPr>
              <w:pStyle w:val="Ruller40"/>
              <w:rPr>
                <w:rFonts w:eastAsia="David"/>
                <w:rtl/>
              </w:rPr>
            </w:pPr>
            <w:r w:rsidRPr="008F51A1">
              <w:rPr>
                <w:rFonts w:ascii="David" w:hAnsi="David" w:cs="David"/>
                <w:sz w:val="24"/>
                <w:szCs w:val="24"/>
                <w:rtl/>
              </w:rPr>
              <w:tab/>
              <w:t xml:space="preserve">עוד נאמר בע"פ 6086/09 </w:t>
            </w:r>
            <w:r w:rsidRPr="008F51A1">
              <w:rPr>
                <w:rFonts w:ascii="David" w:hAnsi="David" w:cs="David"/>
                <w:b/>
                <w:bCs/>
                <w:sz w:val="24"/>
                <w:szCs w:val="24"/>
                <w:rtl/>
              </w:rPr>
              <w:t>פלוני נ' מדינת ישראל</w:t>
            </w:r>
            <w:r w:rsidRPr="008F51A1">
              <w:rPr>
                <w:rFonts w:ascii="David" w:hAnsi="David" w:cs="David"/>
                <w:sz w:val="24"/>
                <w:szCs w:val="24"/>
                <w:rtl/>
              </w:rPr>
              <w:t xml:space="preserve"> (08.06.2010</w:t>
            </w:r>
            <w:r>
              <w:rPr>
                <w:rtl/>
              </w:rPr>
              <w:t>):</w:t>
            </w:r>
          </w:p>
          <w:p w:rsidR="00CD5DBC" w:rsidRDefault="00CD5DBC" w:rsidP="00CD5DBC">
            <w:pPr>
              <w:pStyle w:val="af"/>
              <w:spacing w:before="240" w:after="240" w:line="360" w:lineRule="auto"/>
              <w:jc w:val="both"/>
              <w:rPr>
                <w:rFonts w:ascii="David" w:hAnsi="David" w:cs="David"/>
              </w:rPr>
            </w:pPr>
            <w:r>
              <w:rPr>
                <w:rFonts w:ascii="David" w:hAnsi="David" w:cs="David"/>
                <w:b/>
                <w:bCs/>
                <w:rtl/>
              </w:rPr>
              <w:t>"... חומרתן הרבה של עבירות מין בתוך המשפחה נובעת בין היתר מכך שקטינים חשופים בתוך ביתם לפגיעה ללא יכולת להתגונן ולהימלט מפניה, כאשר המבוגר הפוגע משתמש באמונם, בכוחו ובסמכותו כלפיהם על מנת לספק את רצונותיו המיניים. לפיכך עלינו להעביר מסר חד וברור כי המנצל את חולשתם ופגיעותם של קטינים ייענש על כך בחומרה רבה</w:t>
            </w:r>
            <w:r>
              <w:rPr>
                <w:rFonts w:ascii="David" w:hAnsi="David" w:cs="David"/>
                <w:rtl/>
              </w:rPr>
              <w:t xml:space="preserve">" (פסקה 8). </w:t>
            </w:r>
          </w:p>
          <w:p w:rsidR="00CD5DBC" w:rsidRDefault="00CD5DBC" w:rsidP="00CD5DBC">
            <w:pPr>
              <w:pStyle w:val="af"/>
              <w:spacing w:before="240" w:after="240" w:line="360" w:lineRule="auto"/>
              <w:jc w:val="both"/>
              <w:rPr>
                <w:rFonts w:cs="David"/>
                <w:rtl/>
              </w:rPr>
            </w:pPr>
            <w:r>
              <w:rPr>
                <w:rFonts w:cs="David"/>
                <w:rtl/>
              </w:rPr>
              <w:t xml:space="preserve">בע"פ 6898/17 </w:t>
            </w:r>
            <w:r>
              <w:rPr>
                <w:rFonts w:cs="David"/>
                <w:b/>
                <w:bCs/>
                <w:rtl/>
              </w:rPr>
              <w:t>פלוני נ' מדינת ישראל</w:t>
            </w:r>
            <w:r>
              <w:rPr>
                <w:rFonts w:cs="David"/>
                <w:rtl/>
              </w:rPr>
              <w:t xml:space="preserve"> (31.01.2019) הדגיש בית המשפט את הנזק הנגרם מעבירות מין בתוך המשפחה:</w:t>
            </w:r>
          </w:p>
          <w:p w:rsidR="00CD5DBC" w:rsidRDefault="00CD5DBC" w:rsidP="00CD5DBC">
            <w:pPr>
              <w:pStyle w:val="af"/>
              <w:spacing w:before="240" w:after="240" w:line="360" w:lineRule="auto"/>
              <w:jc w:val="both"/>
              <w:rPr>
                <w:rFonts w:cs="David"/>
              </w:rPr>
            </w:pPr>
            <w:r>
              <w:rPr>
                <w:rFonts w:cs="David"/>
                <w:b/>
                <w:bCs/>
                <w:rtl/>
              </w:rPr>
              <w:t xml:space="preserve">"... מעשים אלה מצלקים את נפשם של הנפגעים וצלקות אלה משפיעות על תפקודם לכל אורך חייהם (ראו: </w:t>
            </w:r>
            <w:r w:rsidRPr="008F51A1">
              <w:rPr>
                <w:rFonts w:cs="David"/>
                <w:b/>
                <w:bCs/>
                <w:rtl/>
              </w:rPr>
              <w:t>ע"פ 7433/15</w:t>
            </w:r>
            <w:r>
              <w:rPr>
                <w:rFonts w:cs="David"/>
                <w:b/>
                <w:bCs/>
                <w:rtl/>
              </w:rPr>
              <w:t xml:space="preserve"> פלוני נ' מדינת ישראל ... (17.5.2016)). על כן חזר ושנה בית משפט זה כי נדרשת ענישה מחמירה ומרתיעה במקרים של עבירות מין בתוך המשפחה המכוונות כלפי קטינים. ענישה שתשקף את סלידתה העמוקה של החברה ממעשים אלה ואת האינטרס הציבורי הרב במיגור התופעה"</w:t>
            </w:r>
            <w:r>
              <w:rPr>
                <w:rFonts w:cs="David"/>
                <w:rtl/>
              </w:rPr>
              <w:t xml:space="preserve"> (פסקה 10). </w:t>
            </w:r>
          </w:p>
          <w:p w:rsidR="00CD5DBC" w:rsidRDefault="00CD5DBC" w:rsidP="00CD5DBC">
            <w:pPr>
              <w:pStyle w:val="af"/>
              <w:numPr>
                <w:ilvl w:val="0"/>
                <w:numId w:val="2"/>
              </w:numPr>
              <w:tabs>
                <w:tab w:val="right" w:pos="8306"/>
              </w:tabs>
              <w:spacing w:before="240" w:after="240" w:line="360" w:lineRule="auto"/>
              <w:jc w:val="both"/>
            </w:pPr>
            <w:r>
              <w:rPr>
                <w:rFonts w:ascii="David" w:hAnsi="David" w:cs="David"/>
                <w:color w:val="000000"/>
                <w:sz w:val="22"/>
                <w:rtl/>
              </w:rPr>
              <w:t xml:space="preserve">ביטוי נוסף לחומרת העבירות בהן הורשע הנאשם נמצא במסגרת הוראת סעיף 355 לחוק, הקובעת הטלת עונש מזערי, העומד על רבע מהעונש המרבי הנקוב בצדן של העבירות (15 שנים), </w:t>
            </w:r>
            <w:r>
              <w:rPr>
                <w:rFonts w:ascii="David" w:hAnsi="David" w:cs="David"/>
                <w:b/>
                <w:bCs/>
                <w:color w:val="000000"/>
                <w:sz w:val="22"/>
                <w:rtl/>
              </w:rPr>
              <w:t>"..אלא אם כן החליט בית המשפט, מטעמים מיוחדים שיירשמו, להקל בעונשו</w:t>
            </w:r>
            <w:r>
              <w:rPr>
                <w:rFonts w:ascii="David" w:hAnsi="David" w:cs="David"/>
                <w:color w:val="000000"/>
                <w:sz w:val="22"/>
                <w:rtl/>
              </w:rPr>
              <w:t xml:space="preserve">" . כשבענייננו העונש המזערי עומד על 45 חודשים. </w:t>
            </w:r>
          </w:p>
          <w:p w:rsidR="00CD5DBC" w:rsidRDefault="00CD5DBC" w:rsidP="00CD5DBC">
            <w:pPr>
              <w:pStyle w:val="af"/>
              <w:numPr>
                <w:ilvl w:val="0"/>
                <w:numId w:val="2"/>
              </w:numPr>
              <w:tabs>
                <w:tab w:val="right" w:pos="8306"/>
              </w:tabs>
              <w:spacing w:before="240" w:after="240" w:line="360" w:lineRule="auto"/>
              <w:jc w:val="both"/>
              <w:rPr>
                <w:rFonts w:ascii="David" w:hAnsi="David" w:cs="David"/>
                <w:color w:val="000000"/>
                <w:sz w:val="22"/>
              </w:rPr>
            </w:pPr>
            <w:bookmarkStart w:id="1" w:name="Seif589"/>
            <w:bookmarkEnd w:id="1"/>
            <w:r>
              <w:rPr>
                <w:rFonts w:ascii="David" w:hAnsi="David" w:cs="David"/>
                <w:color w:val="000000"/>
                <w:sz w:val="22"/>
                <w:rtl/>
              </w:rPr>
              <w:lastRenderedPageBreak/>
              <w:t>בענייננו מידת הפגיעה בערכים המוגנים היא משמעותית, לנוכח חומרת המעשים המתבטאת בכך שבוצעו בתוך התא המשפחתי, באחיין רך בשנים, בביתו-מבצרו, ותוך פגיעה באמונו על ידי הנאשם, דודו שהתגורר בבית אביו.</w:t>
            </w:r>
          </w:p>
          <w:p w:rsidR="00CD5DBC" w:rsidRDefault="00CD5DBC" w:rsidP="00CD5DBC">
            <w:pPr>
              <w:spacing w:before="240" w:after="240" w:line="360" w:lineRule="auto"/>
              <w:ind w:left="360" w:firstLine="360"/>
              <w:jc w:val="both"/>
              <w:rPr>
                <w:rFonts w:ascii="David" w:hAnsi="David"/>
                <w:b/>
                <w:bCs/>
                <w:color w:val="000000"/>
                <w:u w:val="single"/>
                <w:rtl/>
              </w:rPr>
            </w:pPr>
            <w:r>
              <w:rPr>
                <w:rFonts w:hint="cs"/>
                <w:b/>
                <w:bCs/>
                <w:color w:val="000000"/>
                <w:u w:val="single"/>
                <w:rtl/>
              </w:rPr>
              <w:t>נסיבות הקשורות לביצוע העבירות</w:t>
            </w:r>
          </w:p>
          <w:p w:rsidR="00CD5DBC" w:rsidRDefault="00CD5DBC" w:rsidP="00CD5DBC">
            <w:pPr>
              <w:pStyle w:val="af"/>
              <w:numPr>
                <w:ilvl w:val="0"/>
                <w:numId w:val="2"/>
              </w:numPr>
              <w:tabs>
                <w:tab w:val="right" w:pos="8306"/>
              </w:tabs>
              <w:spacing w:before="240" w:after="240" w:line="360" w:lineRule="auto"/>
              <w:jc w:val="both"/>
              <w:rPr>
                <w:rFonts w:ascii="David" w:hAnsi="David" w:cs="David"/>
                <w:color w:val="000000"/>
                <w:sz w:val="22"/>
                <w:rtl/>
              </w:rPr>
            </w:pPr>
            <w:r>
              <w:rPr>
                <w:rFonts w:ascii="David" w:hAnsi="David" w:cs="David"/>
                <w:color w:val="000000"/>
                <w:sz w:val="22"/>
                <w:rtl/>
              </w:rPr>
              <w:t xml:space="preserve">מתיאור המעשים עולה כי הנאשם ניצל את קרבתו לקטין וביצע בו בשתי הזדמנויות מעשים מיניים חמורים, פוגעניים ומבזים, לסיפוק מאווייו המיניים. </w:t>
            </w:r>
          </w:p>
          <w:p w:rsidR="00CD5DBC" w:rsidRDefault="00CD5DBC" w:rsidP="00CD5DBC">
            <w:pPr>
              <w:pStyle w:val="af"/>
              <w:tabs>
                <w:tab w:val="right" w:pos="8306"/>
              </w:tabs>
              <w:spacing w:before="240" w:after="240" w:line="360" w:lineRule="auto"/>
              <w:jc w:val="both"/>
              <w:rPr>
                <w:rFonts w:ascii="David" w:hAnsi="David" w:cs="David"/>
                <w:color w:val="000000"/>
                <w:sz w:val="22"/>
              </w:rPr>
            </w:pPr>
            <w:r>
              <w:rPr>
                <w:rFonts w:ascii="David" w:hAnsi="David" w:cs="David"/>
                <w:color w:val="000000"/>
                <w:sz w:val="22"/>
                <w:rtl/>
              </w:rPr>
              <w:t xml:space="preserve">באחת מההזדמנויות, עת שהה הקטין בחדרו, </w:t>
            </w:r>
            <w:r>
              <w:rPr>
                <w:rFonts w:ascii="David" w:hAnsi="David" w:cs="David"/>
                <w:rtl/>
              </w:rPr>
              <w:t xml:space="preserve">נגע הנאשם באיבר מינו של הקטין </w:t>
            </w:r>
            <w:r>
              <w:rPr>
                <w:rFonts w:ascii="David" w:hAnsi="David" w:cs="David"/>
                <w:color w:val="000000"/>
                <w:sz w:val="22"/>
                <w:rtl/>
              </w:rPr>
              <w:t xml:space="preserve">והורה לו לגעת באיבר מינו של הנאשם ולשפשף אותו. בהזדמנות נוספת, עת שהה הקטין בבית, נכנס הנאשם להתקלח עמו, נגע בגופו של הקטין ושיפשף את איבר מינו והורה לקטין לגעת באיבר מינו של הנאשם, תוך שהוא מדריכו כיצד לשפשף את איבר מינו, עד שהנאשם הגיע לפורקן. </w:t>
            </w:r>
          </w:p>
          <w:p w:rsidR="00CD5DBC" w:rsidRDefault="00CD5DBC" w:rsidP="00CD5DBC">
            <w:pPr>
              <w:pStyle w:val="af"/>
              <w:tabs>
                <w:tab w:val="right" w:pos="8306"/>
              </w:tabs>
              <w:spacing w:before="240" w:after="240" w:line="360" w:lineRule="auto"/>
              <w:jc w:val="both"/>
              <w:rPr>
                <w:rFonts w:ascii="David" w:hAnsi="David" w:cs="David"/>
              </w:rPr>
            </w:pPr>
            <w:r>
              <w:rPr>
                <w:rFonts w:ascii="David" w:hAnsi="David" w:cs="David"/>
                <w:color w:val="000000"/>
                <w:sz w:val="22"/>
                <w:rtl/>
              </w:rPr>
              <w:t xml:space="preserve">בכך, ניצל הנאשם לרעה את האמון שרחשו כלפיו הורי הקטין, עת פתחו בפניהם את ביתם, כמו גם את פער הגילאים בינו לבין הקטין, את תמימות הקטין והאמון שרחש כלפי הנאשם, כמי שהוא דודו. </w:t>
            </w:r>
          </w:p>
          <w:p w:rsidR="00CD5DBC" w:rsidRDefault="00CD5DBC" w:rsidP="00CD5DBC">
            <w:pPr>
              <w:pStyle w:val="af"/>
              <w:spacing w:before="240" w:after="240" w:line="360" w:lineRule="auto"/>
              <w:jc w:val="both"/>
              <w:rPr>
                <w:rFonts w:ascii="David" w:hAnsi="David" w:cs="David"/>
                <w:color w:val="000000"/>
                <w:sz w:val="22"/>
                <w:rtl/>
              </w:rPr>
            </w:pPr>
            <w:r>
              <w:rPr>
                <w:rFonts w:ascii="David" w:hAnsi="David" w:cs="David"/>
                <w:color w:val="000000"/>
                <w:sz w:val="22"/>
                <w:rtl/>
              </w:rPr>
              <w:t xml:space="preserve">מתסקיר נפגע העבירה עולות ההשלכות החמורות של הפגיעות המיניות שחווה הקטין בכל מישורי חייו. </w:t>
            </w:r>
            <w:r>
              <w:rPr>
                <w:rFonts w:ascii="David" w:hAnsi="David" w:cs="David"/>
                <w:rtl/>
              </w:rPr>
              <w:t xml:space="preserve">כן עולה המצוקה אליה נקלעה המשפחה כולה </w:t>
            </w:r>
            <w:r>
              <w:rPr>
                <w:rFonts w:ascii="David" w:hAnsi="David" w:cs="David"/>
                <w:color w:val="000000"/>
                <w:sz w:val="22"/>
                <w:rtl/>
              </w:rPr>
              <w:t xml:space="preserve">בעקבות </w:t>
            </w:r>
            <w:r>
              <w:rPr>
                <w:rFonts w:cs="David"/>
                <w:sz w:val="20"/>
                <w:rtl/>
              </w:rPr>
              <w:t xml:space="preserve">הטראומה של הקטין, והקונפליקט הפנימי, של הוריו שמצד אחד, כואבים ודואבים על בנם הקטין, ומצד שני מביעים דאגה כלפי הנאשם,  אחי-האב, כשגם הקטין מודע לכך וחווה את הדברים. </w:t>
            </w:r>
          </w:p>
          <w:p w:rsidR="00CD5DBC" w:rsidRDefault="00CD5DBC" w:rsidP="00CD5DBC">
            <w:pPr>
              <w:spacing w:before="240" w:after="240" w:line="360" w:lineRule="auto"/>
              <w:ind w:left="360" w:firstLine="360"/>
              <w:jc w:val="both"/>
              <w:rPr>
                <w:b/>
                <w:bCs/>
                <w:u w:val="single"/>
                <w:rtl/>
              </w:rPr>
            </w:pPr>
            <w:r>
              <w:rPr>
                <w:rFonts w:hint="cs"/>
                <w:b/>
                <w:bCs/>
                <w:u w:val="single"/>
                <w:rtl/>
              </w:rPr>
              <w:t>מדיניות הענישה הנוהגת</w:t>
            </w:r>
          </w:p>
          <w:p w:rsidR="00CD5DBC" w:rsidRDefault="00CD5DBC" w:rsidP="00CD5DBC">
            <w:pPr>
              <w:pStyle w:val="a"/>
              <w:numPr>
                <w:ilvl w:val="0"/>
                <w:numId w:val="2"/>
              </w:numPr>
              <w:tabs>
                <w:tab w:val="right" w:pos="8306"/>
              </w:tabs>
              <w:spacing w:before="240" w:after="240"/>
              <w:jc w:val="both"/>
              <w:rPr>
                <w:rFonts w:eastAsiaTheme="minorHAnsi"/>
              </w:rPr>
            </w:pPr>
            <w:r>
              <w:rPr>
                <w:rFonts w:hint="cs"/>
                <w:rtl/>
              </w:rPr>
              <w:t xml:space="preserve">במקרים דומים הוטלו על נאשמים עונשי מאסר במנעד רחב. בבואנו לקבוע את מתחם העונש ההולם, התחשבנו בגזרי הדין שיפורטו להלן, שעניינם עבירות מין שבוצעו </w:t>
            </w:r>
            <w:r>
              <w:rPr>
                <w:rFonts w:eastAsiaTheme="minorHAnsi" w:hint="cs"/>
                <w:rtl/>
              </w:rPr>
              <w:t>במשפחה, וזאת בשינויים המחויבים:</w:t>
            </w:r>
          </w:p>
          <w:p w:rsidR="00CD5DBC" w:rsidRDefault="00CD5DBC" w:rsidP="00CD5DBC">
            <w:pPr>
              <w:pStyle w:val="af"/>
              <w:numPr>
                <w:ilvl w:val="0"/>
                <w:numId w:val="3"/>
              </w:numPr>
              <w:tabs>
                <w:tab w:val="right" w:pos="8306"/>
              </w:tabs>
              <w:spacing w:before="240" w:after="240" w:line="360" w:lineRule="auto"/>
              <w:jc w:val="both"/>
              <w:rPr>
                <w:rFonts w:ascii="David" w:eastAsiaTheme="minorHAnsi" w:hAnsi="David" w:cs="David"/>
              </w:rPr>
            </w:pPr>
            <w:r>
              <w:rPr>
                <w:rFonts w:ascii="David" w:hAnsi="David" w:cs="David"/>
                <w:rtl/>
              </w:rPr>
              <w:tab/>
            </w:r>
            <w:r>
              <w:rPr>
                <w:rFonts w:ascii="David" w:eastAsiaTheme="minorHAnsi" w:hAnsi="David" w:cs="David"/>
                <w:rtl/>
              </w:rPr>
              <w:t xml:space="preserve">ע"פ 1605/13 </w:t>
            </w:r>
            <w:r>
              <w:rPr>
                <w:rFonts w:ascii="David" w:eastAsiaTheme="minorHAnsi" w:hAnsi="David" w:cs="David"/>
                <w:b/>
                <w:bCs/>
                <w:rtl/>
              </w:rPr>
              <w:t xml:space="preserve">פלוני נ' מדינת ישראל </w:t>
            </w:r>
            <w:r>
              <w:rPr>
                <w:rFonts w:ascii="David" w:eastAsiaTheme="minorHAnsi" w:hAnsi="David" w:cs="David"/>
                <w:rtl/>
              </w:rPr>
              <w:t xml:space="preserve">(27.8.2014) (ערעור נאשם וערעור המדינה על קולת העונש) – המערער הודה בביצוע עבירות מין בחמישה אישומים ובין היתר, בעובדות האישום הראשון הרלבנטי לענייננו, אשר יובא לעניין המתחם בלבד. </w:t>
            </w:r>
          </w:p>
          <w:p w:rsidR="00CD5DBC" w:rsidRDefault="00CD5DBC" w:rsidP="00CD5DBC">
            <w:pPr>
              <w:pStyle w:val="af"/>
              <w:tabs>
                <w:tab w:val="right" w:pos="8306"/>
              </w:tabs>
              <w:spacing w:before="240" w:after="240" w:line="360" w:lineRule="auto"/>
              <w:ind w:left="1080"/>
              <w:jc w:val="both"/>
              <w:rPr>
                <w:rFonts w:ascii="David" w:eastAsiaTheme="minorHAnsi" w:hAnsi="David" w:cs="David"/>
                <w:rtl/>
              </w:rPr>
            </w:pPr>
            <w:r>
              <w:rPr>
                <w:rFonts w:ascii="David" w:eastAsiaTheme="minorHAnsi" w:hAnsi="David" w:cs="David"/>
                <w:b/>
                <w:bCs/>
                <w:rtl/>
              </w:rPr>
              <w:t>באישום הראשון</w:t>
            </w:r>
            <w:r>
              <w:rPr>
                <w:rFonts w:ascii="David" w:eastAsiaTheme="minorHAnsi" w:hAnsi="David" w:cs="David"/>
                <w:rtl/>
              </w:rPr>
              <w:t xml:space="preserve"> הורשע המערער במספר עבירות של מעשה מגונה בבן משפחה. הוא ניצל את שהותה התכופה של </w:t>
            </w:r>
            <w:r>
              <w:rPr>
                <w:rFonts w:ascii="David" w:eastAsiaTheme="minorHAnsi" w:hAnsi="David" w:cs="David"/>
                <w:b/>
                <w:bCs/>
                <w:rtl/>
              </w:rPr>
              <w:t>אחייניתו</w:t>
            </w:r>
            <w:r>
              <w:rPr>
                <w:rFonts w:ascii="David" w:eastAsiaTheme="minorHAnsi" w:hAnsi="David" w:cs="David"/>
                <w:rtl/>
              </w:rPr>
              <w:t xml:space="preserve"> בביתו </w:t>
            </w:r>
            <w:r>
              <w:rPr>
                <w:rFonts w:ascii="David" w:eastAsiaTheme="minorHAnsi" w:hAnsi="David" w:cs="David"/>
                <w:b/>
                <w:bCs/>
                <w:rtl/>
              </w:rPr>
              <w:t>ובמשך ארבע שנים</w:t>
            </w:r>
            <w:r>
              <w:rPr>
                <w:rFonts w:ascii="David" w:eastAsiaTheme="minorHAnsi" w:hAnsi="David" w:cs="David"/>
                <w:rtl/>
              </w:rPr>
              <w:t xml:space="preserve"> כשהיתה קטינה </w:t>
            </w:r>
            <w:r>
              <w:rPr>
                <w:rFonts w:ascii="David" w:eastAsiaTheme="minorHAnsi" w:hAnsi="David" w:cs="David"/>
                <w:b/>
                <w:bCs/>
                <w:rtl/>
              </w:rPr>
              <w:t>מתחת גיל 14</w:t>
            </w:r>
            <w:r>
              <w:rPr>
                <w:rFonts w:ascii="David" w:eastAsiaTheme="minorHAnsi" w:hAnsi="David" w:cs="David"/>
                <w:rtl/>
              </w:rPr>
              <w:t xml:space="preserve">, ביצע בה מעשים מגונים שונים ובהזדמנות אחת הביא לכך שאחייניתו תיגע באיבר מינו לאחר שהתפשט. </w:t>
            </w:r>
            <w:r>
              <w:rPr>
                <w:rFonts w:ascii="David" w:eastAsiaTheme="minorHAnsi" w:hAnsi="David" w:cs="David"/>
                <w:b/>
                <w:bCs/>
                <w:rtl/>
              </w:rPr>
              <w:t>בית משפט קמא</w:t>
            </w:r>
            <w:r>
              <w:rPr>
                <w:rFonts w:ascii="David" w:eastAsiaTheme="minorHAnsi" w:hAnsi="David" w:cs="David"/>
                <w:rtl/>
              </w:rPr>
              <w:t xml:space="preserve"> קבע מתחם של </w:t>
            </w:r>
            <w:r>
              <w:rPr>
                <w:rFonts w:ascii="David" w:eastAsiaTheme="minorHAnsi" w:hAnsi="David" w:cs="David"/>
                <w:b/>
                <w:bCs/>
                <w:rtl/>
              </w:rPr>
              <w:t xml:space="preserve">2-6 </w:t>
            </w:r>
            <w:r>
              <w:rPr>
                <w:rFonts w:ascii="David" w:eastAsiaTheme="minorHAnsi" w:hAnsi="David" w:cs="David"/>
                <w:rtl/>
              </w:rPr>
              <w:t>שנות מאסר בפועל.</w:t>
            </w:r>
          </w:p>
          <w:p w:rsidR="00CD5DBC" w:rsidRDefault="00CD5DBC" w:rsidP="00CD5DBC">
            <w:pPr>
              <w:pStyle w:val="af"/>
              <w:tabs>
                <w:tab w:val="right" w:pos="8306"/>
              </w:tabs>
              <w:spacing w:before="240" w:after="240" w:line="360" w:lineRule="auto"/>
              <w:ind w:left="1080"/>
              <w:jc w:val="both"/>
              <w:rPr>
                <w:rFonts w:ascii="David" w:eastAsiaTheme="minorHAnsi" w:hAnsi="David" w:cs="David"/>
                <w:rtl/>
              </w:rPr>
            </w:pPr>
            <w:r>
              <w:rPr>
                <w:rFonts w:ascii="David" w:eastAsiaTheme="minorHAnsi" w:hAnsi="David" w:cs="David"/>
                <w:b/>
                <w:bCs/>
                <w:rtl/>
              </w:rPr>
              <w:lastRenderedPageBreak/>
              <w:t>ערעור המדינה התקבל</w:t>
            </w:r>
            <w:r>
              <w:rPr>
                <w:rFonts w:ascii="David" w:eastAsiaTheme="minorHAnsi" w:hAnsi="David" w:cs="David"/>
                <w:rtl/>
              </w:rPr>
              <w:t xml:space="preserve"> ועונשו של המערער הוחמר מ-7 ל-12 שנות מאסר. בהתייחס</w:t>
            </w:r>
            <w:r>
              <w:rPr>
                <w:rFonts w:ascii="David" w:eastAsiaTheme="minorHAnsi" w:hAnsi="David" w:cs="David"/>
                <w:b/>
                <w:bCs/>
                <w:rtl/>
              </w:rPr>
              <w:t xml:space="preserve"> למתחם האישום הראשון</w:t>
            </w:r>
            <w:r>
              <w:rPr>
                <w:rFonts w:ascii="David" w:eastAsiaTheme="minorHAnsi" w:hAnsi="David" w:cs="David"/>
                <w:rtl/>
              </w:rPr>
              <w:t xml:space="preserve"> החמיר בית המשפט העליון וקבע כי יהא</w:t>
            </w:r>
            <w:r>
              <w:rPr>
                <w:rFonts w:ascii="David" w:eastAsiaTheme="minorHAnsi" w:hAnsi="David" w:cs="David"/>
                <w:b/>
                <w:bCs/>
                <w:rtl/>
              </w:rPr>
              <w:t xml:space="preserve"> </w:t>
            </w:r>
            <w:r>
              <w:rPr>
                <w:rFonts w:ascii="David" w:eastAsiaTheme="minorHAnsi" w:hAnsi="David" w:cs="David"/>
                <w:rtl/>
              </w:rPr>
              <w:t>בין</w:t>
            </w:r>
            <w:r>
              <w:rPr>
                <w:rFonts w:ascii="David" w:eastAsiaTheme="minorHAnsi" w:hAnsi="David" w:cs="David"/>
                <w:b/>
                <w:bCs/>
                <w:rtl/>
              </w:rPr>
              <w:t xml:space="preserve"> 3-7 </w:t>
            </w:r>
            <w:r>
              <w:rPr>
                <w:rFonts w:ascii="David" w:eastAsiaTheme="minorHAnsi" w:hAnsi="David" w:cs="David"/>
                <w:rtl/>
              </w:rPr>
              <w:t>שנות מאסר בפועל.</w:t>
            </w:r>
          </w:p>
          <w:p w:rsidR="00CD5DBC" w:rsidRDefault="00CD5DBC" w:rsidP="00CD5DBC">
            <w:pPr>
              <w:pStyle w:val="af"/>
              <w:numPr>
                <w:ilvl w:val="0"/>
                <w:numId w:val="3"/>
              </w:numPr>
              <w:tabs>
                <w:tab w:val="right" w:pos="8306"/>
              </w:tabs>
              <w:spacing w:before="240" w:after="240" w:line="360" w:lineRule="auto"/>
              <w:jc w:val="both"/>
              <w:rPr>
                <w:rFonts w:ascii="David" w:hAnsi="David" w:cs="David"/>
                <w:rtl/>
              </w:rPr>
            </w:pPr>
            <w:r>
              <w:rPr>
                <w:rFonts w:ascii="David" w:eastAsiaTheme="minorHAnsi" w:hAnsi="David" w:cs="David"/>
                <w:rtl/>
              </w:rPr>
              <w:t xml:space="preserve">ע"פ 4846/13 </w:t>
            </w:r>
            <w:r>
              <w:rPr>
                <w:rFonts w:ascii="David" w:eastAsiaTheme="minorHAnsi" w:hAnsi="David" w:cs="David"/>
                <w:b/>
                <w:bCs/>
                <w:rtl/>
              </w:rPr>
              <w:t>פלוני נ' מדינת ישראל</w:t>
            </w:r>
            <w:r>
              <w:rPr>
                <w:rFonts w:ascii="David" w:eastAsiaTheme="minorHAnsi" w:hAnsi="David" w:cs="David"/>
                <w:rtl/>
              </w:rPr>
              <w:t xml:space="preserve"> (18.6.</w:t>
            </w:r>
            <w:r>
              <w:rPr>
                <w:rFonts w:ascii="David" w:hAnsi="David" w:cs="David"/>
                <w:rtl/>
              </w:rPr>
              <w:t>20</w:t>
            </w:r>
            <w:r>
              <w:rPr>
                <w:rFonts w:ascii="David" w:eastAsiaTheme="minorHAnsi" w:hAnsi="David" w:cs="David"/>
                <w:rtl/>
              </w:rPr>
              <w:t xml:space="preserve">14) - המערער הורשע </w:t>
            </w:r>
            <w:r>
              <w:rPr>
                <w:rFonts w:ascii="David" w:eastAsiaTheme="minorHAnsi" w:hAnsi="David" w:cs="David"/>
                <w:b/>
                <w:bCs/>
                <w:rtl/>
              </w:rPr>
              <w:t>לאחר ניהול הוכחות</w:t>
            </w:r>
            <w:r>
              <w:rPr>
                <w:rFonts w:ascii="David" w:eastAsiaTheme="minorHAnsi" w:hAnsi="David" w:cs="David"/>
                <w:rtl/>
              </w:rPr>
              <w:t xml:space="preserve"> בביצוע </w:t>
            </w:r>
            <w:r>
              <w:rPr>
                <w:rFonts w:ascii="David" w:hAnsi="David" w:cs="David"/>
                <w:rtl/>
              </w:rPr>
              <w:t xml:space="preserve">מעשים מגונים </w:t>
            </w:r>
            <w:r>
              <w:rPr>
                <w:rFonts w:ascii="David" w:eastAsiaTheme="minorHAnsi" w:hAnsi="David" w:cs="David"/>
                <w:b/>
                <w:bCs/>
                <w:rtl/>
              </w:rPr>
              <w:t>בבתה של אשתו</w:t>
            </w:r>
            <w:r>
              <w:rPr>
                <w:rFonts w:ascii="David" w:eastAsiaTheme="minorHAnsi" w:hAnsi="David" w:cs="David"/>
                <w:rtl/>
              </w:rPr>
              <w:t xml:space="preserve">, בהיותה כבת </w:t>
            </w:r>
            <w:r>
              <w:rPr>
                <w:rFonts w:ascii="David" w:eastAsiaTheme="minorHAnsi" w:hAnsi="David" w:cs="David"/>
                <w:b/>
                <w:bCs/>
                <w:rtl/>
              </w:rPr>
              <w:t>13-12</w:t>
            </w:r>
            <w:r>
              <w:rPr>
                <w:rFonts w:ascii="David" w:eastAsiaTheme="minorHAnsi" w:hAnsi="David" w:cs="David"/>
                <w:rtl/>
              </w:rPr>
              <w:t xml:space="preserve"> שנים. </w:t>
            </w:r>
            <w:r>
              <w:rPr>
                <w:rFonts w:ascii="David" w:eastAsiaTheme="minorHAnsi" w:hAnsi="David" w:cs="David"/>
                <w:b/>
                <w:bCs/>
                <w:rtl/>
              </w:rPr>
              <w:t>בתדירות של מספר פעמיים בשבוע</w:t>
            </w:r>
            <w:r>
              <w:rPr>
                <w:rFonts w:ascii="David" w:eastAsiaTheme="minorHAnsi" w:hAnsi="David" w:cs="David"/>
                <w:rtl/>
              </w:rPr>
              <w:t>, דגדג אותה המערער באזור החזה שלה, הכניס את ידו מתחת לבגדיה ונגע באיבריה האינטימיים, כולל באיבר מינה. במספר אירועים, כשישנה הקטינה, נגע המערער בגופה. במספר אירועים, אחז בידה, הניחה על איבר מינו וביקש שתשפשף את איבר מינו. לעיתים סירבה, ולעיתים נענתה. באחת ההזדמנויות אונן בפניה והגיע לסיפוקו.</w:t>
            </w:r>
            <w:r>
              <w:rPr>
                <w:rFonts w:ascii="David" w:hAnsi="David" w:cs="David"/>
                <w:rtl/>
              </w:rPr>
              <w:t xml:space="preserve"> הושתו עליו בין היתר </w:t>
            </w:r>
            <w:r>
              <w:rPr>
                <w:rFonts w:ascii="David" w:hAnsi="David" w:cs="David"/>
                <w:b/>
                <w:bCs/>
                <w:rtl/>
              </w:rPr>
              <w:t>5 שנות מאסר בפועל</w:t>
            </w:r>
            <w:r>
              <w:rPr>
                <w:rFonts w:ascii="David" w:hAnsi="David" w:cs="David"/>
                <w:rtl/>
              </w:rPr>
              <w:t xml:space="preserve">. הערעור נדחה. </w:t>
            </w:r>
          </w:p>
          <w:p w:rsidR="00CD5DBC" w:rsidRDefault="00CD5DBC" w:rsidP="00CD5DBC">
            <w:pPr>
              <w:pStyle w:val="af"/>
              <w:numPr>
                <w:ilvl w:val="0"/>
                <w:numId w:val="3"/>
              </w:numPr>
              <w:tabs>
                <w:tab w:val="right" w:pos="8306"/>
              </w:tabs>
              <w:spacing w:before="240" w:after="240" w:line="360" w:lineRule="auto"/>
              <w:jc w:val="both"/>
              <w:rPr>
                <w:rFonts w:ascii="David" w:hAnsi="David" w:cs="David"/>
              </w:rPr>
            </w:pPr>
            <w:r>
              <w:rPr>
                <w:rFonts w:ascii="David" w:hAnsi="David" w:cs="David"/>
                <w:rtl/>
              </w:rPr>
              <w:t xml:space="preserve">ע"פ 989/19 </w:t>
            </w:r>
            <w:r>
              <w:rPr>
                <w:rFonts w:ascii="David" w:hAnsi="David" w:cs="David"/>
                <w:b/>
                <w:bCs/>
                <w:rtl/>
              </w:rPr>
              <w:t>פלוני נ' מדינת ישראל</w:t>
            </w:r>
            <w:r>
              <w:rPr>
                <w:rFonts w:ascii="David" w:hAnsi="David" w:cs="David"/>
                <w:rtl/>
              </w:rPr>
              <w:t xml:space="preserve"> (19.12.2019) – המערער הורשע לאחר ניהול הוכחות בכך שביצע </w:t>
            </w:r>
            <w:r>
              <w:rPr>
                <w:rFonts w:ascii="David" w:hAnsi="David" w:cs="David"/>
                <w:b/>
                <w:bCs/>
                <w:rtl/>
              </w:rPr>
              <w:t>במשך כ-4 שנים</w:t>
            </w:r>
            <w:r>
              <w:rPr>
                <w:rFonts w:ascii="David" w:hAnsi="David" w:cs="David"/>
                <w:rtl/>
              </w:rPr>
              <w:t xml:space="preserve">, ריבוי עבירות של מעשה מגונה, </w:t>
            </w:r>
            <w:r>
              <w:rPr>
                <w:rFonts w:ascii="David" w:hAnsi="David" w:cs="David"/>
                <w:b/>
                <w:bCs/>
                <w:rtl/>
              </w:rPr>
              <w:t>בבתה של חברתו</w:t>
            </w:r>
            <w:r>
              <w:rPr>
                <w:rFonts w:ascii="David" w:hAnsi="David" w:cs="David"/>
                <w:rtl/>
              </w:rPr>
              <w:t>, החל מהיות המתלוננת כבת 8 או 9 שנים. המערער הכניס את ידו מתחת לבגדיה של המתלוננת ונגע באיבר מינה ובחלקי גופה. בימ"ש קמא קבע כי מתחם העונש ההולם נע בין</w:t>
            </w:r>
            <w:r>
              <w:rPr>
                <w:rFonts w:ascii="David" w:hAnsi="David" w:cs="David"/>
                <w:b/>
                <w:bCs/>
                <w:rtl/>
              </w:rPr>
              <w:t xml:space="preserve"> 45 חודשים ל-7 שנות מאסר בפועל,</w:t>
            </w:r>
            <w:r>
              <w:rPr>
                <w:rFonts w:ascii="David" w:hAnsi="David" w:cs="David"/>
                <w:rtl/>
              </w:rPr>
              <w:t xml:space="preserve"> וגזר עליו בין היתר, </w:t>
            </w:r>
            <w:r>
              <w:rPr>
                <w:rFonts w:ascii="David" w:hAnsi="David" w:cs="David"/>
                <w:b/>
                <w:bCs/>
                <w:rtl/>
              </w:rPr>
              <w:t xml:space="preserve">47 חודשי מאסר בפועל. </w:t>
            </w:r>
            <w:r>
              <w:rPr>
                <w:rFonts w:ascii="David" w:hAnsi="David" w:cs="David"/>
                <w:rtl/>
              </w:rPr>
              <w:t xml:space="preserve">הערעור נדחה. </w:t>
            </w:r>
          </w:p>
          <w:p w:rsidR="00CD5DBC" w:rsidRDefault="00CD5DBC" w:rsidP="00CD5DBC">
            <w:pPr>
              <w:pStyle w:val="af"/>
              <w:numPr>
                <w:ilvl w:val="0"/>
                <w:numId w:val="3"/>
              </w:numPr>
              <w:tabs>
                <w:tab w:val="right" w:pos="8306"/>
              </w:tabs>
              <w:spacing w:before="240" w:after="240" w:line="360" w:lineRule="auto"/>
              <w:jc w:val="both"/>
              <w:rPr>
                <w:rFonts w:ascii="David" w:hAnsi="David" w:cs="David"/>
              </w:rPr>
            </w:pPr>
            <w:r>
              <w:rPr>
                <w:rFonts w:ascii="David" w:hAnsi="David" w:cs="David"/>
                <w:rtl/>
              </w:rPr>
              <w:t xml:space="preserve">ע"פ 1831/21 </w:t>
            </w:r>
            <w:r>
              <w:rPr>
                <w:rFonts w:ascii="David" w:hAnsi="David" w:cs="David"/>
                <w:b/>
                <w:bCs/>
                <w:rtl/>
              </w:rPr>
              <w:t>מדינת ישראל נ' פלוני</w:t>
            </w:r>
            <w:r>
              <w:rPr>
                <w:rFonts w:ascii="David" w:hAnsi="David" w:cs="David"/>
                <w:rtl/>
              </w:rPr>
              <w:t xml:space="preserve"> (31.1.2022) – המשיב הורשע</w:t>
            </w:r>
            <w:r>
              <w:rPr>
                <w:rFonts w:ascii="David" w:hAnsi="David" w:cs="David"/>
              </w:rPr>
              <w:t xml:space="preserve"> </w:t>
            </w:r>
            <w:r>
              <w:rPr>
                <w:rFonts w:ascii="David" w:hAnsi="David" w:cs="David"/>
                <w:rtl/>
              </w:rPr>
              <w:t xml:space="preserve">על פי הודאתו, בעבירה של מעשה מגונה במשפחה בידי אחראי על חסר ישע בנסיבות מחמירות. המשיב, </w:t>
            </w:r>
            <w:r>
              <w:rPr>
                <w:rFonts w:ascii="David" w:hAnsi="David" w:cs="David"/>
                <w:b/>
                <w:bCs/>
                <w:rtl/>
              </w:rPr>
              <w:t>סב הקטינה</w:t>
            </w:r>
            <w:r>
              <w:rPr>
                <w:rFonts w:ascii="David" w:hAnsi="David" w:cs="David"/>
                <w:rtl/>
              </w:rPr>
              <w:t xml:space="preserve">, </w:t>
            </w:r>
            <w:r>
              <w:rPr>
                <w:rFonts w:ascii="David" w:hAnsi="David" w:cs="David"/>
                <w:b/>
                <w:bCs/>
                <w:rtl/>
              </w:rPr>
              <w:t>כבת 13</w:t>
            </w:r>
            <w:r>
              <w:rPr>
                <w:rFonts w:ascii="David" w:hAnsi="David" w:cs="David"/>
                <w:rtl/>
              </w:rPr>
              <w:t xml:space="preserve"> בעת ביצוע המעשים </w:t>
            </w:r>
            <w:r>
              <w:rPr>
                <w:rFonts w:ascii="David" w:hAnsi="David" w:cs="David"/>
                <w:b/>
                <w:bCs/>
                <w:rtl/>
              </w:rPr>
              <w:t>הסובלת מליקוי ראיה</w:t>
            </w:r>
            <w:r>
              <w:rPr>
                <w:rFonts w:ascii="David" w:hAnsi="David" w:cs="David"/>
                <w:rtl/>
              </w:rPr>
              <w:t xml:space="preserve"> הגיע לדירת בתו בה שהתה הקטינה, וביצע בה מסכת מעשים מגונים שכללו </w:t>
            </w:r>
            <w:r>
              <w:rPr>
                <w:rFonts w:ascii="David" w:hAnsi="David" w:cs="David"/>
                <w:color w:val="000000"/>
                <w:rtl/>
              </w:rPr>
              <w:t>נגיעות בחזה, עיסוי איבר מינה מעל ומתחת לבגדיה תוך שהוא נוגע באיבר מינו, הצמדת ידה לאיבר מינו על מנת שתשפשפו וכן חשיפת איבר מינו.</w:t>
            </w:r>
            <w:r>
              <w:rPr>
                <w:rFonts w:ascii="David" w:hAnsi="David" w:cs="David"/>
                <w:color w:val="000000"/>
                <w:sz w:val="26"/>
                <w:szCs w:val="26"/>
                <w:rtl/>
              </w:rPr>
              <w:t xml:space="preserve"> </w:t>
            </w:r>
            <w:r>
              <w:rPr>
                <w:rFonts w:ascii="David" w:hAnsi="David" w:cs="David"/>
                <w:rtl/>
              </w:rPr>
              <w:t>בימ"ש קמא קבע כי</w:t>
            </w:r>
            <w:r>
              <w:rPr>
                <w:rFonts w:ascii="David" w:hAnsi="David" w:cs="David"/>
                <w:b/>
                <w:bCs/>
                <w:rtl/>
              </w:rPr>
              <w:t xml:space="preserve"> </w:t>
            </w:r>
            <w:r>
              <w:rPr>
                <w:rFonts w:ascii="David" w:hAnsi="David" w:cs="David"/>
                <w:rtl/>
              </w:rPr>
              <w:t>מתחם העונש ההולם נע בין</w:t>
            </w:r>
            <w:r>
              <w:rPr>
                <w:rFonts w:ascii="David" w:hAnsi="David" w:cs="David"/>
                <w:b/>
                <w:bCs/>
                <w:rtl/>
              </w:rPr>
              <w:t xml:space="preserve"> 26 לבין 48 חודשי מאסר בפועל</w:t>
            </w:r>
            <w:r>
              <w:rPr>
                <w:rFonts w:ascii="David" w:hAnsi="David" w:cs="David"/>
                <w:rtl/>
              </w:rPr>
              <w:t xml:space="preserve">, וגזר על המשיב, בין היתר, </w:t>
            </w:r>
            <w:r>
              <w:rPr>
                <w:rFonts w:ascii="David" w:hAnsi="David" w:cs="David"/>
                <w:b/>
                <w:bCs/>
                <w:rtl/>
              </w:rPr>
              <w:t>30 חודשי מאסר בפועל</w:t>
            </w:r>
            <w:r>
              <w:rPr>
                <w:rFonts w:ascii="David" w:hAnsi="David" w:cs="David"/>
                <w:rtl/>
              </w:rPr>
              <w:t xml:space="preserve">. ערעור המדינה התקבל וביהמ"ש העליון החמיר בעונשו והעמידו על </w:t>
            </w:r>
            <w:r>
              <w:rPr>
                <w:rFonts w:ascii="David" w:hAnsi="David" w:cs="David"/>
                <w:b/>
                <w:bCs/>
                <w:rtl/>
              </w:rPr>
              <w:t>42 חודשי מאסר בפועל</w:t>
            </w:r>
            <w:r>
              <w:rPr>
                <w:rFonts w:ascii="David" w:hAnsi="David" w:cs="David"/>
                <w:rtl/>
              </w:rPr>
              <w:t>.</w:t>
            </w:r>
          </w:p>
          <w:p w:rsidR="00CD5DBC" w:rsidRDefault="00CD5DBC" w:rsidP="00CD5DBC">
            <w:pPr>
              <w:pStyle w:val="af"/>
              <w:numPr>
                <w:ilvl w:val="0"/>
                <w:numId w:val="3"/>
              </w:numPr>
              <w:tabs>
                <w:tab w:val="right" w:pos="8306"/>
              </w:tabs>
              <w:spacing w:before="240" w:after="240" w:line="360" w:lineRule="auto"/>
              <w:contextualSpacing/>
              <w:jc w:val="both"/>
              <w:rPr>
                <w:rFonts w:ascii="David" w:hAnsi="David" w:cs="David"/>
                <w:rtl/>
              </w:rPr>
            </w:pPr>
            <w:r>
              <w:rPr>
                <w:rFonts w:ascii="David" w:hAnsi="David" w:cs="David"/>
                <w:rtl/>
              </w:rPr>
              <w:t xml:space="preserve">ע"פ 2158/23 </w:t>
            </w:r>
            <w:r>
              <w:rPr>
                <w:rFonts w:ascii="David" w:hAnsi="David" w:cs="David"/>
                <w:b/>
                <w:bCs/>
                <w:rtl/>
              </w:rPr>
              <w:t>פלוני נ' מדינת ישראל</w:t>
            </w:r>
            <w:r>
              <w:rPr>
                <w:rFonts w:ascii="David" w:hAnsi="David" w:cs="David"/>
                <w:rtl/>
              </w:rPr>
              <w:t xml:space="preserve"> (18.1.2024)– המערער הורשע עפ"י הודאתו במסגרת הסדר טיעון, בריבוי עבירות של מעשה מגונה במשפחה וכן בשתי עבירות של הטרדה מינית,  אותן ביצע </w:t>
            </w:r>
            <w:r>
              <w:rPr>
                <w:rFonts w:ascii="David" w:hAnsi="David" w:cs="David"/>
                <w:b/>
                <w:bCs/>
                <w:rtl/>
              </w:rPr>
              <w:t>בבתה של אשתו</w:t>
            </w:r>
            <w:r>
              <w:rPr>
                <w:rFonts w:ascii="David" w:hAnsi="David" w:cs="David"/>
                <w:rtl/>
              </w:rPr>
              <w:t xml:space="preserve">, קטינה </w:t>
            </w:r>
            <w:r>
              <w:rPr>
                <w:rFonts w:ascii="David" w:hAnsi="David" w:cs="David"/>
                <w:b/>
                <w:bCs/>
                <w:rtl/>
              </w:rPr>
              <w:t>כבת 13</w:t>
            </w:r>
            <w:r>
              <w:rPr>
                <w:rFonts w:ascii="David" w:hAnsi="David" w:cs="David"/>
                <w:rtl/>
              </w:rPr>
              <w:t xml:space="preserve">, בעת ביקוריה בביתם מפנימייה בה שהתה.  </w:t>
            </w:r>
            <w:r>
              <w:rPr>
                <w:rFonts w:ascii="David" w:hAnsi="David" w:cs="David"/>
                <w:b/>
                <w:bCs/>
                <w:rtl/>
              </w:rPr>
              <w:t>באחת ההזדמנויות</w:t>
            </w:r>
            <w:r>
              <w:rPr>
                <w:rFonts w:ascii="David" w:hAnsi="David" w:cs="David"/>
                <w:rtl/>
              </w:rPr>
              <w:t xml:space="preserve"> בעודו ללא חולצה </w:t>
            </w:r>
            <w:r>
              <w:rPr>
                <w:rFonts w:ascii="David" w:eastAsiaTheme="minorHAnsi" w:hAnsi="David" w:cs="David"/>
                <w:rtl/>
              </w:rPr>
              <w:t>נעמד המערער מול הקטינה, אחז במותניה, נישק אותה בפיה, תוך שהוא מכניס את לשונו לפיה, אחז בשדיה ושם את ידו על חלקו הקדמי של איבר מינה, מעל הבגדים. כמו כן נכנס למקלחת וחשף את איבר מינו בפ</w:t>
            </w:r>
            <w:r>
              <w:rPr>
                <w:rFonts w:ascii="David" w:hAnsi="David" w:cs="David"/>
                <w:rtl/>
              </w:rPr>
              <w:t xml:space="preserve">ניה עד שהגיע לסיפוק מיני. </w:t>
            </w:r>
            <w:r>
              <w:rPr>
                <w:rFonts w:ascii="David" w:hAnsi="David" w:cs="David"/>
                <w:b/>
                <w:bCs/>
                <w:rtl/>
              </w:rPr>
              <w:t>בהזדמנויות נוספות</w:t>
            </w:r>
            <w:r>
              <w:rPr>
                <w:rFonts w:ascii="David" w:hAnsi="David" w:cs="David"/>
                <w:rtl/>
              </w:rPr>
              <w:t xml:space="preserve"> בעת ביקוריה, נצמד אליה מאחור, אחז בשדיה, חיבק אותה בכוח ונגע בגופה, וזאת בזמן שהיא ניסתה להימלט ממנו. בנוסף השמיע לקטינה אמירות מיניות, ולאורך כל  התקופה, הפציר בה לבל תספר לאיש אודות מעשיו. בימ"ש קמא קבע מתחם הנע </w:t>
            </w:r>
            <w:r>
              <w:rPr>
                <w:rFonts w:ascii="David" w:hAnsi="David" w:cs="David"/>
                <w:b/>
                <w:bCs/>
                <w:rtl/>
              </w:rPr>
              <w:t>בין 45 חודשים לבין 6 שנות מאסר</w:t>
            </w:r>
            <w:r>
              <w:rPr>
                <w:rFonts w:ascii="David" w:hAnsi="David" w:cs="David"/>
                <w:rtl/>
              </w:rPr>
              <w:t xml:space="preserve">,  וגזר עליו (תוך חריגה לקולא משיקולי שיקום) </w:t>
            </w:r>
            <w:r>
              <w:rPr>
                <w:rFonts w:ascii="David" w:hAnsi="David" w:cs="David"/>
                <w:b/>
                <w:bCs/>
                <w:rtl/>
              </w:rPr>
              <w:t>18 חודשי מאסר בפועל</w:t>
            </w:r>
            <w:r>
              <w:rPr>
                <w:rFonts w:ascii="David" w:hAnsi="David" w:cs="David"/>
                <w:rtl/>
              </w:rPr>
              <w:t xml:space="preserve">. הערעור נדחה. </w:t>
            </w:r>
          </w:p>
          <w:p w:rsidR="00CD5DBC" w:rsidRDefault="00CD5DBC" w:rsidP="00CD5DBC">
            <w:pPr>
              <w:pStyle w:val="af"/>
              <w:tabs>
                <w:tab w:val="right" w:pos="8306"/>
              </w:tabs>
              <w:spacing w:before="240" w:after="240" w:line="360" w:lineRule="auto"/>
              <w:ind w:left="651"/>
              <w:contextualSpacing/>
              <w:jc w:val="both"/>
              <w:rPr>
                <w:rFonts w:ascii="David" w:hAnsi="David" w:cs="David"/>
              </w:rPr>
            </w:pPr>
          </w:p>
          <w:p w:rsidR="00CD5DBC" w:rsidRDefault="00CD5DBC" w:rsidP="00CD5DBC">
            <w:pPr>
              <w:pStyle w:val="af"/>
              <w:numPr>
                <w:ilvl w:val="0"/>
                <w:numId w:val="3"/>
              </w:numPr>
              <w:tabs>
                <w:tab w:val="right" w:pos="8306"/>
              </w:tabs>
              <w:spacing w:before="240" w:after="240" w:line="360" w:lineRule="auto"/>
              <w:jc w:val="both"/>
              <w:rPr>
                <w:rFonts w:ascii="David" w:hAnsi="David" w:cs="David"/>
                <w:rtl/>
              </w:rPr>
            </w:pPr>
            <w:r>
              <w:rPr>
                <w:rFonts w:ascii="David" w:hAnsi="David" w:cs="David"/>
                <w:rtl/>
              </w:rPr>
              <w:t xml:space="preserve">ע"פ 3227/10 </w:t>
            </w:r>
            <w:r>
              <w:rPr>
                <w:rFonts w:ascii="David" w:hAnsi="David" w:cs="David"/>
                <w:b/>
                <w:bCs/>
                <w:rtl/>
              </w:rPr>
              <w:t xml:space="preserve">פלוני נ' מדינת ישראל </w:t>
            </w:r>
            <w:r>
              <w:rPr>
                <w:rFonts w:ascii="David" w:hAnsi="David" w:cs="David"/>
                <w:rtl/>
              </w:rPr>
              <w:t xml:space="preserve">(מיום 24.1.2011) (הוגש מטעם התביעה)- המערער, </w:t>
            </w:r>
            <w:r>
              <w:rPr>
                <w:rFonts w:ascii="David" w:hAnsi="David" w:cs="David"/>
                <w:b/>
                <w:bCs/>
                <w:rtl/>
              </w:rPr>
              <w:t>דודו של אבי-הקטין</w:t>
            </w:r>
            <w:r>
              <w:rPr>
                <w:rFonts w:ascii="David" w:hAnsi="David" w:cs="David"/>
                <w:rtl/>
              </w:rPr>
              <w:t xml:space="preserve">, הורשע עפ"י הודאתו, בביצוע עבירה של מעשה מגונה  ובעבירה של נסיון לבצע מעשה מגונה. </w:t>
            </w:r>
            <w:r>
              <w:rPr>
                <w:rFonts w:ascii="David" w:hAnsi="David" w:cs="David"/>
                <w:b/>
                <w:bCs/>
                <w:rtl/>
              </w:rPr>
              <w:t>במהלך שנתיים</w:t>
            </w:r>
            <w:r>
              <w:rPr>
                <w:rFonts w:ascii="David" w:hAnsi="David" w:cs="David"/>
                <w:rtl/>
              </w:rPr>
              <w:t xml:space="preserve">, ובין היתר, בהיות הקטין </w:t>
            </w:r>
            <w:r>
              <w:rPr>
                <w:rFonts w:ascii="David" w:hAnsi="David" w:cs="David"/>
                <w:b/>
                <w:bCs/>
                <w:rtl/>
              </w:rPr>
              <w:t>כבן 9.5 עד 11 שנים</w:t>
            </w:r>
            <w:r>
              <w:rPr>
                <w:rFonts w:ascii="David" w:hAnsi="David" w:cs="David"/>
                <w:rtl/>
              </w:rPr>
              <w:t xml:space="preserve">, נהג המערער לגעת באיבר מינו של הקטין </w:t>
            </w:r>
            <w:r>
              <w:rPr>
                <w:rFonts w:ascii="David" w:hAnsi="David" w:cs="David"/>
                <w:b/>
                <w:bCs/>
                <w:rtl/>
              </w:rPr>
              <w:t>בהזדמנויות רבות</w:t>
            </w:r>
            <w:r>
              <w:rPr>
                <w:rFonts w:ascii="David" w:hAnsi="David" w:cs="David"/>
                <w:rtl/>
              </w:rPr>
              <w:t xml:space="preserve"> כשנותר לבדו עם הקטין בביתו, בין היתר, הסיר את מכנסיו ותחתוניו של הקטין ונגע באיבר מינו חרף התנגדותו, וכשישבו על הספה ניסה לגעת באיבר מינו של הקטין מעל לבגדיו, וכשהיו בבית המערער ביקש המערער מהקטין שיגע באיבר מינו, וחרף סירובו של הקטין אחז בידו של הקטין והכניסה לתחתוניו עד שהגיע לסיפוקו. כך גם כשהשניים לנו על מזרן משותף בסוכה. במספר הזדמנויות כשהיו יחד במקום ציבורי נהג המערער לגעת באיבר המין של הקטין וכן ביקש ממנו שייגע באיבר מינו שלו. בימ"ש קמא גזר עליו בין היתר,  </w:t>
            </w:r>
            <w:r>
              <w:rPr>
                <w:rFonts w:ascii="David" w:hAnsi="David" w:cs="David"/>
                <w:b/>
                <w:bCs/>
                <w:rtl/>
              </w:rPr>
              <w:t>42 חודשי מאסר בפועל</w:t>
            </w:r>
            <w:r>
              <w:rPr>
                <w:rFonts w:ascii="David" w:hAnsi="David" w:cs="David"/>
                <w:rtl/>
              </w:rPr>
              <w:t xml:space="preserve">. </w:t>
            </w:r>
            <w:r>
              <w:rPr>
                <w:rFonts w:ascii="David" w:hAnsi="David" w:cs="David"/>
                <w:b/>
                <w:bCs/>
                <w:rtl/>
              </w:rPr>
              <w:t>הערעור נדחה</w:t>
            </w:r>
            <w:r>
              <w:rPr>
                <w:rFonts w:ascii="David" w:hAnsi="David" w:cs="David"/>
                <w:rtl/>
              </w:rPr>
              <w:t xml:space="preserve">. </w:t>
            </w:r>
          </w:p>
          <w:p w:rsidR="00CD5DBC" w:rsidRDefault="00CD5DBC" w:rsidP="00CD5DBC">
            <w:pPr>
              <w:pStyle w:val="af"/>
              <w:numPr>
                <w:ilvl w:val="0"/>
                <w:numId w:val="3"/>
              </w:numPr>
              <w:tabs>
                <w:tab w:val="right" w:pos="8306"/>
              </w:tabs>
              <w:spacing w:before="240" w:after="240" w:line="360" w:lineRule="auto"/>
              <w:jc w:val="both"/>
              <w:rPr>
                <w:rFonts w:ascii="David" w:hAnsi="David" w:cs="David"/>
                <w:rtl/>
              </w:rPr>
            </w:pPr>
            <w:r>
              <w:rPr>
                <w:rFonts w:ascii="David" w:eastAsiaTheme="minorHAnsi" w:hAnsi="David" w:cs="David"/>
                <w:rtl/>
              </w:rPr>
              <w:t xml:space="preserve">ע"פ 5421/12 </w:t>
            </w:r>
            <w:r>
              <w:rPr>
                <w:rFonts w:ascii="David" w:eastAsiaTheme="minorHAnsi" w:hAnsi="David" w:cs="David"/>
                <w:b/>
                <w:bCs/>
                <w:rtl/>
              </w:rPr>
              <w:t xml:space="preserve">פלוני נ' </w:t>
            </w:r>
            <w:r>
              <w:rPr>
                <w:rFonts w:ascii="David" w:hAnsi="David" w:cs="David"/>
                <w:b/>
                <w:bCs/>
                <w:rtl/>
              </w:rPr>
              <w:t>מדינת ישראל</w:t>
            </w:r>
            <w:r>
              <w:rPr>
                <w:rFonts w:ascii="David" w:eastAsiaTheme="minorHAnsi" w:hAnsi="David" w:cs="David"/>
                <w:rtl/>
              </w:rPr>
              <w:t xml:space="preserve"> (29.8.2013) - </w:t>
            </w:r>
            <w:r>
              <w:rPr>
                <w:rFonts w:cs="David"/>
                <w:rtl/>
              </w:rPr>
              <w:t xml:space="preserve">המערער הורשע, על-פי הודאתו, בביצוע </w:t>
            </w:r>
            <w:r>
              <w:rPr>
                <w:rFonts w:ascii="David" w:hAnsi="David" w:cs="David"/>
                <w:rtl/>
              </w:rPr>
              <w:t>מעשים מגונים לאורך תקופה,</w:t>
            </w:r>
            <w:r>
              <w:rPr>
                <w:rFonts w:ascii="David" w:hAnsi="David" w:cs="David"/>
                <w:b/>
                <w:bCs/>
                <w:rtl/>
              </w:rPr>
              <w:t xml:space="preserve"> בנכדתו </w:t>
            </w:r>
            <w:r>
              <w:rPr>
                <w:rFonts w:ascii="David" w:hAnsi="David" w:cs="David"/>
                <w:rtl/>
              </w:rPr>
              <w:t>, בעת שביקרה בביתו ומאז היותה בת 6 שנים.  עת שכבה הנכדה עם המערער במיטתו, הוא ליטף ועיסה, שוב ושוב, את חזה מתחת לגופיה והמשיך במעשיו גם כשהדפה את ידו מעליה והכניס את ידו מתחת למכנסיה ותחתוניה של המתלוננת, ליטף ועיסה את איבר מינה. בהמשך הוציא המערער את ידו מאיבר מינה של המתלוננת, ליקק אחת מאצבעות ידו ונגע באיבר מינו, מתחת לשמיכה בה התכסה. בהמשך, עיסה המערער בידו את גבה של המתלוננת. המערער חזר על מעשיו אלה גם בהזדמנויות נוספות. בימ"ש קמא גזר</w:t>
            </w:r>
            <w:r>
              <w:rPr>
                <w:rFonts w:ascii="David" w:hAnsi="David" w:cs="David"/>
                <w:b/>
                <w:bCs/>
                <w:rtl/>
              </w:rPr>
              <w:t xml:space="preserve"> </w:t>
            </w:r>
            <w:r>
              <w:rPr>
                <w:rFonts w:ascii="David" w:hAnsi="David" w:cs="David"/>
                <w:rtl/>
              </w:rPr>
              <w:t>עליו, בין היתר,</w:t>
            </w:r>
            <w:r>
              <w:rPr>
                <w:rFonts w:ascii="David" w:hAnsi="David" w:cs="David"/>
                <w:b/>
                <w:bCs/>
                <w:rtl/>
              </w:rPr>
              <w:t xml:space="preserve"> 4 שנות מאסר. </w:t>
            </w:r>
            <w:r>
              <w:rPr>
                <w:rFonts w:ascii="David" w:hAnsi="David" w:cs="David"/>
                <w:rtl/>
              </w:rPr>
              <w:t xml:space="preserve">הערעור נדחה. </w:t>
            </w:r>
          </w:p>
          <w:p w:rsidR="00CD5DBC" w:rsidRDefault="00CD5DBC" w:rsidP="00CD5DBC">
            <w:pPr>
              <w:pStyle w:val="af"/>
              <w:numPr>
                <w:ilvl w:val="0"/>
                <w:numId w:val="2"/>
              </w:numPr>
              <w:tabs>
                <w:tab w:val="right" w:pos="8306"/>
              </w:tabs>
              <w:spacing w:before="240" w:after="240" w:line="360" w:lineRule="auto"/>
              <w:jc w:val="both"/>
              <w:rPr>
                <w:rFonts w:ascii="David" w:hAnsi="David" w:cs="David"/>
                <w:rtl/>
              </w:rPr>
            </w:pPr>
            <w:r>
              <w:rPr>
                <w:rFonts w:ascii="David" w:hAnsi="David" w:cs="David"/>
                <w:rtl/>
              </w:rPr>
              <w:t xml:space="preserve">יצוין כי ב"כ הנאשם הפנה לפסיקה שאוזכרה במסגרת גזר דינו של מותב זה, שנסיבותיו בחומרה פחותה מענייננו (תפ"ח (מרכז) 27796-06-20 </w:t>
            </w:r>
            <w:r>
              <w:rPr>
                <w:rFonts w:ascii="David" w:hAnsi="David" w:cs="David"/>
                <w:b/>
                <w:bCs/>
                <w:rtl/>
              </w:rPr>
              <w:t>מ"י נ' פלוני</w:t>
            </w:r>
            <w:r>
              <w:rPr>
                <w:rFonts w:ascii="David" w:hAnsi="David" w:cs="David"/>
                <w:rtl/>
              </w:rPr>
              <w:t xml:space="preserve"> (1.5.2022)) ומטבע הדברים, הפסיקה שבו מאפיינת מקרים קלים יותר בנסיבותיהם, חלקם תוך הסכמה לעניין העונש במסגרת הסדר טיעון,  ובשונה מענייננו. </w:t>
            </w:r>
          </w:p>
          <w:p w:rsidR="00CD5DBC" w:rsidRDefault="00CD5DBC" w:rsidP="00CD5DBC">
            <w:pPr>
              <w:pStyle w:val="af"/>
              <w:numPr>
                <w:ilvl w:val="0"/>
                <w:numId w:val="2"/>
              </w:numPr>
              <w:tabs>
                <w:tab w:val="right" w:pos="8306"/>
              </w:tabs>
              <w:spacing w:before="240" w:after="240" w:line="360" w:lineRule="auto"/>
              <w:jc w:val="both"/>
              <w:rPr>
                <w:rFonts w:ascii="David" w:hAnsi="David" w:cs="David"/>
                <w:b/>
                <w:u w:val="single"/>
              </w:rPr>
            </w:pPr>
            <w:r>
              <w:rPr>
                <w:rFonts w:ascii="David" w:hAnsi="David" w:cs="David"/>
                <w:rtl/>
              </w:rPr>
              <w:t xml:space="preserve">נקבע בפסיקה כי לעונש המזערי שקבע המחוקק ראוי גם שתהיה השפעה על מתחם העונש ההולם, כך שככלל הרף התחתון של מתחם העונש ההולם לא יהיה נמוך מהעונש המזערי, אלא אם קיימים טעמים מיוחדים שיצדיקו קביעת רף תחתון נמוך יותר (כב' השופט סולברג בע"פ 4876/15 </w:t>
            </w:r>
            <w:r>
              <w:rPr>
                <w:rFonts w:ascii="David" w:hAnsi="David" w:cs="David"/>
                <w:b/>
                <w:bCs/>
                <w:rtl/>
              </w:rPr>
              <w:t>פלוני נ' מדינת ישראל</w:t>
            </w:r>
            <w:r>
              <w:rPr>
                <w:rFonts w:ascii="David" w:hAnsi="David" w:cs="David"/>
                <w:rtl/>
              </w:rPr>
              <w:t xml:space="preserve"> (3.12.2015); כב' השופט אלרון בע"פ 5617/19 </w:t>
            </w:r>
            <w:r>
              <w:rPr>
                <w:rFonts w:ascii="David" w:hAnsi="David" w:cs="David"/>
                <w:b/>
                <w:bCs/>
                <w:rtl/>
              </w:rPr>
              <w:t>מדינת ישראל נ' פלוני</w:t>
            </w:r>
            <w:r>
              <w:rPr>
                <w:rFonts w:ascii="David" w:hAnsi="David" w:cs="David"/>
                <w:rtl/>
              </w:rPr>
              <w:t xml:space="preserve"> (26.8.2021)). </w:t>
            </w:r>
          </w:p>
          <w:p w:rsidR="00CD5DBC" w:rsidRDefault="00CD5DBC" w:rsidP="00CD5DBC">
            <w:pPr>
              <w:pStyle w:val="af"/>
              <w:numPr>
                <w:ilvl w:val="0"/>
                <w:numId w:val="2"/>
              </w:numPr>
              <w:tabs>
                <w:tab w:val="right" w:pos="8306"/>
              </w:tabs>
              <w:spacing w:before="240" w:after="240" w:line="360" w:lineRule="auto"/>
              <w:jc w:val="both"/>
              <w:rPr>
                <w:rFonts w:ascii="David" w:hAnsi="David" w:cs="David"/>
                <w:bCs/>
              </w:rPr>
            </w:pPr>
            <w:r>
              <w:rPr>
                <w:rFonts w:ascii="David" w:hAnsi="David" w:cs="David"/>
                <w:b/>
                <w:rtl/>
              </w:rPr>
              <w:t xml:space="preserve">במכלול האמור מצאנו לקבוע כי מתחם העונש ההולם </w:t>
            </w:r>
            <w:r>
              <w:rPr>
                <w:rFonts w:ascii="David" w:hAnsi="David" w:cs="David"/>
                <w:b/>
                <w:bCs/>
                <w:rtl/>
              </w:rPr>
              <w:t xml:space="preserve">בעניינו של הנאשם נע בין 45-85 חודשי מאסר בפועל. </w:t>
            </w:r>
          </w:p>
          <w:p w:rsidR="00CD5DBC" w:rsidRDefault="00CD5DBC" w:rsidP="00CD5DBC">
            <w:pPr>
              <w:spacing w:before="240" w:after="240" w:line="360" w:lineRule="auto"/>
              <w:ind w:firstLine="360"/>
              <w:jc w:val="both"/>
              <w:rPr>
                <w:rFonts w:ascii="David" w:hAnsi="David"/>
                <w:color w:val="FF0000"/>
              </w:rPr>
            </w:pPr>
            <w:r>
              <w:rPr>
                <w:rFonts w:hint="cs"/>
                <w:b/>
                <w:bCs/>
                <w:u w:val="single"/>
                <w:rtl/>
              </w:rPr>
              <w:t>העונש הראוי לנאשם</w:t>
            </w:r>
          </w:p>
          <w:p w:rsidR="00CD5DBC" w:rsidRDefault="00CD5DBC" w:rsidP="00CD5DBC">
            <w:pPr>
              <w:pStyle w:val="af"/>
              <w:numPr>
                <w:ilvl w:val="0"/>
                <w:numId w:val="2"/>
              </w:numPr>
              <w:spacing w:before="240" w:after="240" w:line="360" w:lineRule="auto"/>
              <w:jc w:val="both"/>
              <w:rPr>
                <w:rFonts w:ascii="David" w:hAnsi="David" w:cs="David"/>
                <w:color w:val="000000"/>
                <w:rtl/>
              </w:rPr>
            </w:pPr>
            <w:r>
              <w:rPr>
                <w:rFonts w:ascii="David" w:hAnsi="David" w:cs="David"/>
                <w:color w:val="000000"/>
                <w:rtl/>
              </w:rPr>
              <w:lastRenderedPageBreak/>
              <w:t>המדובר בנאשם כבן 47 שנים, המאובחן כמתפקד ברמה גבולית עפ"י חוות דעת ועדת האבחון מיום 4.12.22 , אשר עבד עד למעצרו באופן מסודר. הנאשם הודה בביצוע העבירות, תוך הבעת חרטה על מעשיו. הוא נעדר עבר פלילי והיה נתון לראשונה בחייו כחודשיים במעצר מאחורי סורג ובריח. לאחר מכן שהה הנאשם פרק זמן בלתי מבוטל במעצר במעון "נווה מנשה".</w:t>
            </w:r>
          </w:p>
          <w:p w:rsidR="00CD5DBC" w:rsidRDefault="00CD5DBC" w:rsidP="00CD5DBC">
            <w:pPr>
              <w:pStyle w:val="af"/>
              <w:numPr>
                <w:ilvl w:val="0"/>
                <w:numId w:val="2"/>
              </w:numPr>
              <w:tabs>
                <w:tab w:val="right" w:pos="8306"/>
              </w:tabs>
              <w:spacing w:before="240" w:after="240" w:line="360" w:lineRule="auto"/>
              <w:jc w:val="both"/>
              <w:rPr>
                <w:rFonts w:ascii="David" w:hAnsi="David" w:cs="David"/>
              </w:rPr>
            </w:pPr>
            <w:r>
              <w:rPr>
                <w:rFonts w:ascii="David" w:hAnsi="David" w:cs="David"/>
                <w:color w:val="000000"/>
                <w:sz w:val="22"/>
                <w:rtl/>
              </w:rPr>
              <w:t xml:space="preserve">כעולה מהתסקיר </w:t>
            </w:r>
            <w:r>
              <w:rPr>
                <w:rFonts w:ascii="David" w:hAnsi="David" w:cs="David"/>
                <w:rtl/>
              </w:rPr>
              <w:t xml:space="preserve">נוכח מאפייניו האישיותיים של הנאשם, התנהלותו מתוך עיוותי חשיבה ודחפים והקושי בהפנמת האיסור והשלכות מעשיו קיימת רמת סיכון בלתי מבוטלת לביצוע עבירות בתחום המין בעתיד כשלא ניתן לשלול משיכה לקטינים. בצד האמור הנאשם נרתם כפי יכולתו להליך טיפולי, הוא נתרם משהותו במעון במכלול היבטים ואף עתיד להשתלב בטיפול ייעודי בתחום המין, תוך ליווי ופיקוח, שיוכל להפחית את הסיכון להישנות התנהגות בעייתית במצבו. </w:t>
            </w:r>
          </w:p>
          <w:p w:rsidR="00CD5DBC" w:rsidRDefault="00CD5DBC" w:rsidP="00CD5DBC">
            <w:pPr>
              <w:pStyle w:val="af"/>
              <w:numPr>
                <w:ilvl w:val="0"/>
                <w:numId w:val="2"/>
              </w:numPr>
              <w:tabs>
                <w:tab w:val="right" w:pos="8306"/>
              </w:tabs>
              <w:spacing w:before="240" w:after="240" w:line="360" w:lineRule="auto"/>
              <w:jc w:val="both"/>
              <w:rPr>
                <w:rFonts w:ascii="David" w:hAnsi="David" w:cs="David"/>
                <w:color w:val="000000"/>
                <w:rtl/>
              </w:rPr>
            </w:pPr>
            <w:r>
              <w:rPr>
                <w:rFonts w:ascii="David" w:hAnsi="David" w:cs="David"/>
                <w:color w:val="000000"/>
                <w:rtl/>
              </w:rPr>
              <w:t>במכלול הנסיבות, לרבות חקירת הנאשם שלא על ידי חוקר מיוחד ובהתאם לעתירת המאשימה, ראינו לגזור את עונשו של הנאשם בתחתית המתחם שנקבע.</w:t>
            </w:r>
          </w:p>
          <w:p w:rsidR="00CD5DBC" w:rsidRDefault="00CD5DBC" w:rsidP="00CD5DBC">
            <w:pPr>
              <w:tabs>
                <w:tab w:val="right" w:pos="8306"/>
              </w:tabs>
              <w:spacing w:before="240" w:after="240" w:line="360" w:lineRule="auto"/>
              <w:ind w:left="360"/>
              <w:jc w:val="both"/>
              <w:rPr>
                <w:rFonts w:ascii="David" w:hAnsi="David"/>
                <w:b/>
                <w:bCs/>
                <w:color w:val="000000"/>
                <w:highlight w:val="yellow"/>
                <w:u w:val="single"/>
              </w:rPr>
            </w:pPr>
            <w:r>
              <w:rPr>
                <w:rFonts w:hint="cs"/>
                <w:b/>
                <w:bCs/>
                <w:color w:val="000000"/>
                <w:u w:val="single"/>
                <w:rtl/>
              </w:rPr>
              <w:t>הסכמת הצדדים באשר לריצוי המאסר בפועל במעון נעול</w:t>
            </w:r>
          </w:p>
          <w:p w:rsidR="00CD5DBC" w:rsidRDefault="00CD5DBC" w:rsidP="00CD5DBC">
            <w:pPr>
              <w:pStyle w:val="af"/>
              <w:numPr>
                <w:ilvl w:val="0"/>
                <w:numId w:val="2"/>
              </w:numPr>
              <w:tabs>
                <w:tab w:val="right" w:pos="8306"/>
              </w:tabs>
              <w:spacing w:before="240" w:after="240" w:line="360" w:lineRule="auto"/>
              <w:jc w:val="both"/>
              <w:rPr>
                <w:rFonts w:ascii="David" w:hAnsi="David" w:cs="David"/>
                <w:color w:val="000000"/>
                <w:sz w:val="22"/>
              </w:rPr>
            </w:pPr>
            <w:r>
              <w:rPr>
                <w:rFonts w:ascii="David" w:hAnsi="David" w:cs="David"/>
                <w:color w:val="000000"/>
                <w:sz w:val="22"/>
                <w:rtl/>
              </w:rPr>
              <w:t xml:space="preserve">הנאשם היה עצור תחילה מאחורי סורג ובריח ובהמשך שוחרר לחלופת מעצר במעון נעול "נווה מנשה". </w:t>
            </w:r>
          </w:p>
          <w:p w:rsidR="00CD5DBC" w:rsidRDefault="00CD5DBC" w:rsidP="00CD5DBC">
            <w:pPr>
              <w:pStyle w:val="af"/>
              <w:numPr>
                <w:ilvl w:val="0"/>
                <w:numId w:val="2"/>
              </w:numPr>
              <w:tabs>
                <w:tab w:val="right" w:pos="8306"/>
              </w:tabs>
              <w:spacing w:before="240" w:after="240" w:line="360" w:lineRule="auto"/>
              <w:jc w:val="both"/>
              <w:rPr>
                <w:rFonts w:ascii="David" w:hAnsi="David" w:cs="David"/>
                <w:color w:val="000000"/>
                <w:sz w:val="22"/>
              </w:rPr>
            </w:pPr>
            <w:r>
              <w:rPr>
                <w:rFonts w:ascii="David" w:hAnsi="David" w:cs="David"/>
                <w:color w:val="000000"/>
                <w:sz w:val="22"/>
                <w:rtl/>
              </w:rPr>
              <w:t>בראיון שנערך לנאשם במסגרת הליכי המעצר במעון הנעול המליצה העו"ס במקום על קליטתו של הנאשם הגם שלא אובחן כלוקה במוגבלות שכלית התפתחותית. בציינה כי על אף שייעודו של המעון הנעול לשמש מסגרת מעצר או מאסר לאנשים בעלי מוגבלות שכלית התפתחותית, נמצא לנכון לבחון גם השמתם של אנשים בעלי מאפיינים דומים ברמה התפקודית כל עוד אינם מהווים סיכון לזולתם.</w:t>
            </w:r>
            <w:r>
              <w:rPr>
                <w:rFonts w:ascii="David" w:hAnsi="David" w:cs="David"/>
                <w:b/>
                <w:bCs/>
                <w:color w:val="000000"/>
                <w:sz w:val="22"/>
                <w:rtl/>
              </w:rPr>
              <w:t xml:space="preserve"> </w:t>
            </w:r>
            <w:r>
              <w:rPr>
                <w:rFonts w:ascii="David" w:hAnsi="David" w:cs="David"/>
                <w:color w:val="000000"/>
                <w:sz w:val="22"/>
                <w:rtl/>
              </w:rPr>
              <w:t>באשר לנאשם נקבע בהתאם לחוות דעת ועדת האבחון כי "</w:t>
            </w:r>
            <w:r>
              <w:rPr>
                <w:rFonts w:ascii="David" w:hAnsi="David" w:cs="David"/>
                <w:b/>
                <w:bCs/>
                <w:color w:val="000000"/>
                <w:sz w:val="22"/>
                <w:rtl/>
              </w:rPr>
              <w:t>יוכל להיתרם ממקום מעצר מוגן עקב תפקוד הסתגלותי נמוך, שיפוט לקוי במצבים בין אישיים וחברתיים וצורך בתמיכה והכוונה של צוות מטפל</w:t>
            </w:r>
            <w:r>
              <w:rPr>
                <w:rFonts w:ascii="David" w:hAnsi="David" w:cs="David"/>
                <w:color w:val="000000"/>
                <w:sz w:val="22"/>
                <w:rtl/>
              </w:rPr>
              <w:t xml:space="preserve">." </w:t>
            </w:r>
          </w:p>
          <w:p w:rsidR="00CD5DBC" w:rsidRDefault="00CD5DBC" w:rsidP="00CD5DBC">
            <w:pPr>
              <w:pStyle w:val="af"/>
              <w:numPr>
                <w:ilvl w:val="0"/>
                <w:numId w:val="2"/>
              </w:numPr>
              <w:tabs>
                <w:tab w:val="right" w:pos="8306"/>
              </w:tabs>
              <w:spacing w:before="240" w:after="240" w:line="360" w:lineRule="auto"/>
              <w:jc w:val="both"/>
              <w:rPr>
                <w:rFonts w:ascii="David" w:hAnsi="David" w:cs="David"/>
                <w:color w:val="000000"/>
                <w:sz w:val="22"/>
                <w:rtl/>
              </w:rPr>
            </w:pPr>
            <w:r>
              <w:rPr>
                <w:rFonts w:ascii="David" w:hAnsi="David" w:cs="David"/>
                <w:color w:val="000000"/>
                <w:sz w:val="22"/>
                <w:rtl/>
              </w:rPr>
              <w:t xml:space="preserve">על יסוד האמור, ובהסכמת הצדדים, שונה סטטוס הנאשם שהיה נתון בתנאים מגבילים בלבד, לעצור עד תום ההליכים כמתחייב מהוראת סע' 19א לחוק הסעד, תוך הארכת המעצר מעת לעת בהחלטות ביהמ"ש העליון. בהמשך הסכימו הצדדים במסגרת הסדר הטיעון כי היה ויוטל על הנאשם עונש מאסר, הוא ירוצה במעון הנעול "נווה מנשה".  </w:t>
            </w:r>
          </w:p>
          <w:p w:rsidR="00CD5DBC" w:rsidRDefault="00CD5DBC" w:rsidP="00CD5DBC">
            <w:pPr>
              <w:pStyle w:val="af"/>
              <w:numPr>
                <w:ilvl w:val="0"/>
                <w:numId w:val="2"/>
              </w:numPr>
              <w:tabs>
                <w:tab w:val="right" w:pos="8306"/>
              </w:tabs>
              <w:spacing w:before="240" w:after="240" w:line="360" w:lineRule="auto"/>
              <w:jc w:val="both"/>
              <w:rPr>
                <w:rFonts w:ascii="David" w:hAnsi="David" w:cs="David"/>
                <w:color w:val="000000"/>
                <w:sz w:val="22"/>
                <w:rtl/>
              </w:rPr>
            </w:pPr>
            <w:r>
              <w:rPr>
                <w:rFonts w:ascii="David" w:hAnsi="David" w:cs="David"/>
                <w:color w:val="000000"/>
                <w:sz w:val="22"/>
                <w:rtl/>
              </w:rPr>
              <w:t xml:space="preserve">המלצת הגורמים הטיפוליים והסכמת הצדדים אף עולה בקנה אחד עם האמור בע"פ 2059/12  </w:t>
            </w:r>
            <w:r>
              <w:rPr>
                <w:rFonts w:ascii="David" w:hAnsi="David" w:cs="David"/>
                <w:b/>
                <w:bCs/>
                <w:color w:val="000000"/>
                <w:sz w:val="22"/>
                <w:rtl/>
              </w:rPr>
              <w:t>פלוני נ' מ"י</w:t>
            </w:r>
            <w:r>
              <w:rPr>
                <w:rFonts w:ascii="David" w:hAnsi="David" w:cs="David"/>
                <w:color w:val="000000"/>
                <w:sz w:val="22"/>
                <w:rtl/>
              </w:rPr>
              <w:t xml:space="preserve"> (20.8.2013) פסקה 21 ואילך), משנקבע כי ניתן להניח בעניינו של אותו מערער, שבדומה לנאשם דנן לא אובחן כלוקה בפיגור שכלי, כי בא בגדרי סעיף 19ד לחוק הסעד. </w:t>
            </w:r>
          </w:p>
          <w:p w:rsidR="00CD5DBC" w:rsidRDefault="00CD5DBC" w:rsidP="00CD5DBC">
            <w:pPr>
              <w:pStyle w:val="af"/>
              <w:numPr>
                <w:ilvl w:val="0"/>
                <w:numId w:val="2"/>
              </w:numPr>
              <w:tabs>
                <w:tab w:val="right" w:pos="8306"/>
              </w:tabs>
              <w:spacing w:before="240" w:after="240" w:line="360" w:lineRule="auto"/>
              <w:jc w:val="both"/>
              <w:rPr>
                <w:rFonts w:ascii="David" w:hAnsi="David" w:cs="David"/>
                <w:color w:val="000000"/>
              </w:rPr>
            </w:pPr>
            <w:r>
              <w:rPr>
                <w:rFonts w:ascii="David" w:hAnsi="David" w:cs="David"/>
                <w:color w:val="000000"/>
                <w:rtl/>
              </w:rPr>
              <w:lastRenderedPageBreak/>
              <w:t xml:space="preserve">לפיכך כפי שהוסכם בין הצדדים, כהמלצת שירות המבחן, ובהתאם לסעיף 19ד' לחוק הסעד אנו מורים כי עונש המאסר ירוצה במעון נעול "נווה מנשה".  </w:t>
            </w:r>
          </w:p>
          <w:p w:rsidR="00CD5DBC" w:rsidRDefault="00CD5DBC" w:rsidP="00CD5DBC">
            <w:pPr>
              <w:spacing w:before="240" w:after="240" w:line="360" w:lineRule="auto"/>
              <w:jc w:val="both"/>
              <w:rPr>
                <w:b/>
                <w:bCs/>
                <w:sz w:val="28"/>
                <w:szCs w:val="28"/>
                <w:u w:val="single"/>
                <w:rtl/>
              </w:rPr>
            </w:pPr>
            <w:r>
              <w:rPr>
                <w:rFonts w:hint="cs"/>
                <w:b/>
                <w:bCs/>
                <w:sz w:val="28"/>
                <w:szCs w:val="28"/>
                <w:u w:val="single"/>
                <w:rtl/>
              </w:rPr>
              <w:t>סוף דבר</w:t>
            </w:r>
          </w:p>
          <w:p w:rsidR="00CD5DBC" w:rsidRDefault="00CD5DBC" w:rsidP="00CD5DBC">
            <w:pPr>
              <w:pStyle w:val="af"/>
              <w:numPr>
                <w:ilvl w:val="0"/>
                <w:numId w:val="2"/>
              </w:numPr>
              <w:spacing w:line="360" w:lineRule="auto"/>
              <w:jc w:val="both"/>
              <w:rPr>
                <w:rFonts w:ascii="David" w:hAnsi="David" w:cs="David"/>
                <w:color w:val="000000"/>
              </w:rPr>
            </w:pPr>
            <w:r>
              <w:rPr>
                <w:rFonts w:ascii="David" w:hAnsi="David" w:cs="David"/>
                <w:color w:val="000000"/>
                <w:rtl/>
              </w:rPr>
              <w:t>אנו גוזרים על הנאשם את העונשים הבאים:</w:t>
            </w:r>
          </w:p>
          <w:p w:rsidR="00CD5DBC" w:rsidRDefault="00CD5DBC" w:rsidP="00CD5DBC">
            <w:pPr>
              <w:pStyle w:val="af"/>
              <w:numPr>
                <w:ilvl w:val="1"/>
                <w:numId w:val="4"/>
              </w:numPr>
              <w:tabs>
                <w:tab w:val="right" w:pos="8306"/>
              </w:tabs>
              <w:spacing w:before="240" w:after="240" w:line="360" w:lineRule="auto"/>
              <w:jc w:val="both"/>
              <w:rPr>
                <w:rFonts w:ascii="David" w:hAnsi="David" w:cs="David"/>
              </w:rPr>
            </w:pPr>
            <w:r>
              <w:rPr>
                <w:rFonts w:ascii="David" w:hAnsi="David" w:cs="David"/>
                <w:color w:val="000000"/>
                <w:sz w:val="22"/>
                <w:rtl/>
              </w:rPr>
              <w:t>מאסר בפועל למשך 45 חודשים.</w:t>
            </w:r>
          </w:p>
          <w:p w:rsidR="00CD5DBC" w:rsidRDefault="00CD5DBC" w:rsidP="00CD5DBC">
            <w:pPr>
              <w:pStyle w:val="af"/>
              <w:tabs>
                <w:tab w:val="right" w:pos="8306"/>
              </w:tabs>
              <w:spacing w:before="240" w:after="240" w:line="360" w:lineRule="auto"/>
              <w:ind w:left="1440"/>
              <w:jc w:val="both"/>
              <w:rPr>
                <w:rFonts w:ascii="David" w:hAnsi="David" w:cs="David"/>
              </w:rPr>
            </w:pPr>
            <w:r>
              <w:rPr>
                <w:rFonts w:ascii="David" w:hAnsi="David" w:cs="David"/>
                <w:color w:val="000000"/>
                <w:sz w:val="22"/>
                <w:rtl/>
              </w:rPr>
              <w:t xml:space="preserve">מהמאסר ינוכו התקופות שהנאשם היה עצור, </w:t>
            </w:r>
            <w:r>
              <w:rPr>
                <w:rFonts w:ascii="David" w:hAnsi="David" w:cs="David"/>
                <w:rtl/>
              </w:rPr>
              <w:t xml:space="preserve">מיום 9.9.22 עד 9.11.22 וכן מיום 24.1.23 ועד היום. </w:t>
            </w:r>
          </w:p>
          <w:p w:rsidR="00CD5DBC" w:rsidRDefault="00CD5DBC" w:rsidP="00CD5DBC">
            <w:pPr>
              <w:pStyle w:val="af"/>
              <w:tabs>
                <w:tab w:val="right" w:pos="8306"/>
              </w:tabs>
              <w:spacing w:before="240" w:after="240" w:line="360" w:lineRule="auto"/>
              <w:ind w:left="1440"/>
              <w:jc w:val="both"/>
              <w:rPr>
                <w:rFonts w:ascii="David" w:hAnsi="David" w:cs="David"/>
                <w:color w:val="000000"/>
                <w:sz w:val="22"/>
              </w:rPr>
            </w:pPr>
            <w:r>
              <w:rPr>
                <w:rFonts w:ascii="David" w:hAnsi="David" w:cs="David"/>
                <w:color w:val="000000"/>
                <w:sz w:val="22"/>
                <w:rtl/>
              </w:rPr>
              <w:t xml:space="preserve">המאסר ירוצה במעון נעול "נווה מנשה".  </w:t>
            </w:r>
          </w:p>
          <w:p w:rsidR="00CD5DBC" w:rsidRDefault="00CD5DBC" w:rsidP="00CD5DBC">
            <w:pPr>
              <w:pStyle w:val="af"/>
              <w:numPr>
                <w:ilvl w:val="1"/>
                <w:numId w:val="4"/>
              </w:numPr>
              <w:tabs>
                <w:tab w:val="right" w:pos="8306"/>
              </w:tabs>
              <w:spacing w:before="240" w:after="240" w:line="360" w:lineRule="auto"/>
              <w:jc w:val="both"/>
              <w:rPr>
                <w:rFonts w:ascii="David" w:hAnsi="David" w:cs="David"/>
                <w:color w:val="000000"/>
                <w:rtl/>
              </w:rPr>
            </w:pPr>
            <w:r>
              <w:rPr>
                <w:rFonts w:ascii="David" w:hAnsi="David" w:cs="David"/>
                <w:color w:val="000000"/>
                <w:rtl/>
              </w:rPr>
              <w:t>9  חודשי מאסר על תנאי, והתנאי הוא שלא יעבור תוך 3 שנים מיום שחרורו מהמאסר עבירת מין מסוג פשע.</w:t>
            </w:r>
          </w:p>
          <w:p w:rsidR="00CD5DBC" w:rsidRDefault="00CD5DBC" w:rsidP="00CD5DBC">
            <w:pPr>
              <w:pStyle w:val="af"/>
              <w:numPr>
                <w:ilvl w:val="1"/>
                <w:numId w:val="4"/>
              </w:numPr>
              <w:spacing w:after="160" w:line="360" w:lineRule="auto"/>
              <w:contextualSpacing/>
              <w:jc w:val="both"/>
              <w:rPr>
                <w:rFonts w:ascii="David" w:hAnsi="David" w:cs="David"/>
                <w:color w:val="000000"/>
                <w:sz w:val="22"/>
              </w:rPr>
            </w:pPr>
            <w:r>
              <w:rPr>
                <w:rFonts w:ascii="David" w:hAnsi="David" w:cs="David"/>
                <w:color w:val="000000"/>
                <w:sz w:val="22"/>
                <w:rtl/>
              </w:rPr>
              <w:t>6  חודשי מאסר על תנאי, והתנאי הוא שלא יעבור תוך 3 שנים מיום שחרורו מהמאסר עבירת מין מסוג עוון.</w:t>
            </w:r>
          </w:p>
          <w:p w:rsidR="00CD5DBC" w:rsidRDefault="00CD5DBC" w:rsidP="00CD5DBC">
            <w:pPr>
              <w:pStyle w:val="af"/>
              <w:spacing w:after="160" w:line="360" w:lineRule="auto"/>
              <w:ind w:left="1440"/>
              <w:contextualSpacing/>
              <w:jc w:val="both"/>
              <w:rPr>
                <w:rFonts w:ascii="David" w:hAnsi="David" w:cs="David"/>
                <w:color w:val="000000"/>
                <w:sz w:val="22"/>
              </w:rPr>
            </w:pPr>
          </w:p>
          <w:p w:rsidR="00CD5DBC" w:rsidRDefault="00CD5DBC" w:rsidP="00CD5DBC">
            <w:pPr>
              <w:pStyle w:val="af"/>
              <w:numPr>
                <w:ilvl w:val="1"/>
                <w:numId w:val="4"/>
              </w:numPr>
              <w:tabs>
                <w:tab w:val="num" w:pos="1620"/>
              </w:tabs>
              <w:spacing w:after="160" w:line="360" w:lineRule="auto"/>
              <w:contextualSpacing/>
              <w:jc w:val="both"/>
              <w:rPr>
                <w:rFonts w:ascii="David" w:hAnsi="David" w:cs="David"/>
                <w:color w:val="000000"/>
                <w:sz w:val="22"/>
              </w:rPr>
            </w:pPr>
            <w:r>
              <w:rPr>
                <w:rFonts w:ascii="David" w:hAnsi="David" w:cs="David"/>
                <w:color w:val="000000"/>
                <w:sz w:val="22"/>
                <w:rtl/>
              </w:rPr>
              <w:t xml:space="preserve">פיצוי לקטין בסך של 40,000 ₪ אשר ישולם </w:t>
            </w:r>
            <w:r>
              <w:rPr>
                <w:rFonts w:ascii="David" w:hAnsi="David" w:cs="David"/>
                <w:rtl/>
              </w:rPr>
              <w:t xml:space="preserve">ב- 10 תשלומים חודשיים שווים ורצופים החל מיום </w:t>
            </w:r>
            <w:r>
              <w:rPr>
                <w:rFonts w:ascii="David" w:hAnsi="David" w:cs="David"/>
                <w:color w:val="000000"/>
                <w:sz w:val="22"/>
                <w:rtl/>
              </w:rPr>
              <w:t xml:space="preserve">1.5.24.   </w:t>
            </w:r>
          </w:p>
          <w:p w:rsidR="00CD5DBC" w:rsidRDefault="00CD5DBC" w:rsidP="00CD5DBC">
            <w:pPr>
              <w:pStyle w:val="af"/>
              <w:spacing w:line="360" w:lineRule="auto"/>
              <w:ind w:left="1440"/>
              <w:jc w:val="both"/>
              <w:rPr>
                <w:rFonts w:ascii="David" w:hAnsi="David" w:cs="David"/>
              </w:rPr>
            </w:pPr>
            <w:r>
              <w:rPr>
                <w:rFonts w:ascii="David" w:hAnsi="David" w:cs="David"/>
                <w:rtl/>
              </w:rPr>
              <w:t xml:space="preserve">הפיצוי יועבר לאמו של הקטין (על פי פרטים שתמסור המאשימה), אשר תשמור כספים אלה בידיה הנאמנות עבור הקטין עד הגיעו לגיל 18, ובמועד זה תעבירם לידיו. ואולם ניתן יהיה לעשות שימוש בכספים אלה לצרכי טיפול ושיקומו של הקטין באישור בית משפט. </w:t>
            </w:r>
          </w:p>
          <w:p w:rsidR="00CD5DBC" w:rsidRDefault="00CD5DBC" w:rsidP="00CD5DBC">
            <w:pPr>
              <w:pStyle w:val="af"/>
              <w:ind w:left="1440"/>
              <w:rPr>
                <w:rFonts w:ascii="David" w:hAnsi="David" w:cs="David"/>
                <w:color w:val="000000"/>
                <w:sz w:val="22"/>
                <w:rtl/>
              </w:rPr>
            </w:pPr>
          </w:p>
          <w:p w:rsidR="00CD5DBC" w:rsidRDefault="00CD5DBC" w:rsidP="00CD5DBC">
            <w:pPr>
              <w:spacing w:line="360" w:lineRule="auto"/>
              <w:ind w:firstLine="720"/>
              <w:jc w:val="both"/>
              <w:rPr>
                <w:rFonts w:ascii="David" w:hAnsi="David"/>
                <w:rtl/>
              </w:rPr>
            </w:pPr>
            <w:r>
              <w:rPr>
                <w:rFonts w:hint="cs"/>
                <w:color w:val="000000"/>
                <w:rtl/>
              </w:rPr>
              <w:t xml:space="preserve"> זכות ערעור לבית-המשפט העליון תוך 45 ימים מהיום.</w:t>
            </w:r>
          </w:p>
          <w:p w:rsidR="00CD5DBC" w:rsidRDefault="00CD5DBC" w:rsidP="00CD5DBC">
            <w:pPr>
              <w:spacing w:line="360" w:lineRule="auto"/>
              <w:jc w:val="both"/>
              <w:rPr>
                <w:sz w:val="6"/>
                <w:szCs w:val="6"/>
                <w:rtl/>
              </w:rPr>
            </w:pPr>
            <w:r>
              <w:rPr>
                <w:rFonts w:hint="cs"/>
                <w:sz w:val="6"/>
                <w:szCs w:val="6"/>
                <w:rtl/>
              </w:rPr>
              <w:t>&lt;#4#&gt;</w:t>
            </w:r>
          </w:p>
          <w:p w:rsidR="00CD5DBC" w:rsidRDefault="00CD5DBC" w:rsidP="00CD5DBC">
            <w:pPr>
              <w:spacing w:line="360" w:lineRule="auto"/>
              <w:rPr>
                <w:b/>
                <w:bCs/>
                <w:rtl/>
              </w:rPr>
            </w:pPr>
            <w:r>
              <w:rPr>
                <w:rFonts w:hint="cs"/>
                <w:b/>
                <w:bCs/>
                <w:rtl/>
              </w:rPr>
              <w:t xml:space="preserve">ניתן והודע היום </w:t>
            </w:r>
            <w:sdt>
              <w:sdtPr>
                <w:rPr>
                  <w:rFonts w:hint="cs"/>
                  <w:rtl/>
                </w:rPr>
                <w:alias w:val="2207"/>
                <w:tag w:val="2207"/>
                <w:id w:val="-1602030440"/>
              </w:sdtPr>
              <w:sdtEndPr/>
              <w:sdtContent>
                <w:r>
                  <w:rPr>
                    <w:rFonts w:hint="cs"/>
                    <w:b/>
                    <w:bCs/>
                    <w:rtl/>
                  </w:rPr>
                  <w:t>כ"א אדר ב' תשפ"ד</w:t>
                </w:r>
              </w:sdtContent>
            </w:sdt>
            <w:r>
              <w:rPr>
                <w:rFonts w:hint="cs"/>
                <w:b/>
                <w:bCs/>
                <w:rtl/>
              </w:rPr>
              <w:t xml:space="preserve">, </w:t>
            </w:r>
            <w:sdt>
              <w:sdtPr>
                <w:rPr>
                  <w:rFonts w:hint="cs"/>
                  <w:rtl/>
                </w:rPr>
                <w:alias w:val="2206"/>
                <w:tag w:val="2206"/>
                <w:id w:val="-881791114"/>
              </w:sdtPr>
              <w:sdtEndPr/>
              <w:sdtContent>
                <w:r>
                  <w:rPr>
                    <w:rFonts w:hint="cs"/>
                    <w:b/>
                    <w:bCs/>
                  </w:rPr>
                  <w:t>31/03/2024</w:t>
                </w:r>
              </w:sdtContent>
            </w:sdt>
            <w:r>
              <w:rPr>
                <w:rFonts w:hint="cs"/>
                <w:b/>
                <w:bCs/>
                <w:rtl/>
              </w:rPr>
              <w:t xml:space="preserve"> במעמד הנוכחים. </w:t>
            </w:r>
          </w:p>
          <w:tbl>
            <w:tblPr>
              <w:tblStyle w:val="ab"/>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CD5DBC" w:rsidTr="00CD5DBC">
              <w:tc>
                <w:tcPr>
                  <w:tcW w:w="2891" w:type="dxa"/>
                  <w:vAlign w:val="center"/>
                  <w:hideMark/>
                </w:tcPr>
                <w:p w:rsidR="00CD5DBC" w:rsidRDefault="00623011" w:rsidP="00CD5DBC">
                  <w:pPr>
                    <w:jc w:val="right"/>
                    <w:rPr>
                      <w:rtl/>
                    </w:rPr>
                  </w:pPr>
                  <w:sdt>
                    <w:sdtPr>
                      <w:rPr>
                        <w:rFonts w:cs="Times New Roman"/>
                        <w:rtl/>
                      </w:rPr>
                      <w:alias w:val="MergeField"/>
                      <w:tag w:val="2250"/>
                      <w:id w:val="949292172"/>
                      <w:showingPlcHdr/>
                    </w:sdtPr>
                    <w:sdtEndPr/>
                    <w:sdtContent>
                      <w:r w:rsidR="001D6521">
                        <w:rPr>
                          <w:rFonts w:cs="Times New Roman"/>
                          <w:rtl/>
                        </w:rPr>
                        <w:t xml:space="preserve">     </w:t>
                      </w:r>
                    </w:sdtContent>
                  </w:sdt>
                </w:p>
              </w:tc>
              <w:tc>
                <w:tcPr>
                  <w:tcW w:w="2891" w:type="dxa"/>
                  <w:vAlign w:val="center"/>
                  <w:hideMark/>
                </w:tcPr>
                <w:sdt>
                  <w:sdtPr>
                    <w:rPr>
                      <w:rFonts w:cs="Times New Roman"/>
                      <w:rtl/>
                    </w:rPr>
                    <w:alias w:val="MergeField"/>
                    <w:tag w:val="2251"/>
                    <w:id w:val="-1494180894"/>
                    <w:showingPlcHdr/>
                  </w:sdtPr>
                  <w:sdtEndPr/>
                  <w:sdtContent>
                    <w:p w:rsidR="00CD5DBC" w:rsidRDefault="001D6521" w:rsidP="00CD5DBC">
                      <w:pPr>
                        <w:jc w:val="right"/>
                      </w:pPr>
                      <w:r>
                        <w:rPr>
                          <w:rFonts w:cs="Times New Roman"/>
                          <w:rtl/>
                        </w:rPr>
                        <w:t xml:space="preserve">     </w:t>
                      </w:r>
                    </w:p>
                  </w:sdtContent>
                </w:sdt>
              </w:tc>
              <w:tc>
                <w:tcPr>
                  <w:tcW w:w="2891" w:type="dxa"/>
                  <w:vAlign w:val="center"/>
                  <w:hideMark/>
                </w:tcPr>
                <w:sdt>
                  <w:sdtPr>
                    <w:rPr>
                      <w:rFonts w:cs="Times New Roman"/>
                      <w:rtl/>
                    </w:rPr>
                    <w:alias w:val="MergeField"/>
                    <w:tag w:val="2252"/>
                    <w:id w:val="2076474011"/>
                    <w:showingPlcHdr/>
                  </w:sdtPr>
                  <w:sdtEndPr/>
                  <w:sdtContent>
                    <w:p w:rsidR="00CD5DBC" w:rsidRDefault="001D6521" w:rsidP="00CD5DBC">
                      <w:pPr>
                        <w:jc w:val="right"/>
                      </w:pPr>
                      <w:r>
                        <w:rPr>
                          <w:rFonts w:cs="Times New Roman"/>
                          <w:rtl/>
                        </w:rPr>
                        <w:t xml:space="preserve">     </w:t>
                      </w:r>
                    </w:p>
                  </w:sdtContent>
                </w:sdt>
              </w:tc>
            </w:tr>
            <w:tr w:rsidR="00CD5DBC" w:rsidTr="001D6521">
              <w:tc>
                <w:tcPr>
                  <w:tcW w:w="2891" w:type="dxa"/>
                  <w:vAlign w:val="center"/>
                </w:tcPr>
                <w:p w:rsidR="00CD5DBC" w:rsidRDefault="00CD5DBC" w:rsidP="00CD5DBC">
                  <w:pPr>
                    <w:spacing w:line="360" w:lineRule="auto"/>
                    <w:jc w:val="center"/>
                    <w:rPr>
                      <w:rFonts w:ascii="David" w:hAnsi="David"/>
                    </w:rPr>
                  </w:pPr>
                </w:p>
              </w:tc>
              <w:tc>
                <w:tcPr>
                  <w:tcW w:w="2891" w:type="dxa"/>
                  <w:vAlign w:val="center"/>
                </w:tcPr>
                <w:p w:rsidR="00CD5DBC" w:rsidRDefault="00CD5DBC" w:rsidP="00CD5DBC">
                  <w:pPr>
                    <w:spacing w:line="360" w:lineRule="auto"/>
                    <w:jc w:val="center"/>
                    <w:rPr>
                      <w:rFonts w:ascii="David" w:hAnsi="David"/>
                      <w:rtl/>
                    </w:rPr>
                  </w:pPr>
                </w:p>
              </w:tc>
              <w:tc>
                <w:tcPr>
                  <w:tcW w:w="2891" w:type="dxa"/>
                  <w:vAlign w:val="center"/>
                </w:tcPr>
                <w:p w:rsidR="00CD5DBC" w:rsidRDefault="00CD5DBC" w:rsidP="00CD5DBC">
                  <w:pPr>
                    <w:spacing w:line="360" w:lineRule="auto"/>
                    <w:jc w:val="center"/>
                    <w:rPr>
                      <w:rFonts w:ascii="David" w:hAnsi="David"/>
                      <w:rtl/>
                    </w:rPr>
                  </w:pPr>
                </w:p>
              </w:tc>
            </w:tr>
            <w:tr w:rsidR="00CD5DBC" w:rsidTr="00CD5DBC">
              <w:tc>
                <w:tcPr>
                  <w:tcW w:w="2891" w:type="dxa"/>
                  <w:vAlign w:val="center"/>
                </w:tcPr>
                <w:p w:rsidR="00CD5DBC" w:rsidRDefault="00CD5DBC" w:rsidP="00CD5DBC">
                  <w:pPr>
                    <w:spacing w:line="360" w:lineRule="auto"/>
                    <w:jc w:val="center"/>
                    <w:rPr>
                      <w:rFonts w:ascii="David" w:hAnsi="David"/>
                      <w:rtl/>
                    </w:rPr>
                  </w:pPr>
                </w:p>
                <w:p w:rsidR="00CD5DBC" w:rsidRDefault="00CD5DBC" w:rsidP="00CD5DBC">
                  <w:pPr>
                    <w:spacing w:line="360" w:lineRule="auto"/>
                    <w:jc w:val="center"/>
                    <w:rPr>
                      <w:rFonts w:ascii="David" w:hAnsi="David"/>
                      <w:rtl/>
                    </w:rPr>
                  </w:pPr>
                </w:p>
              </w:tc>
              <w:tc>
                <w:tcPr>
                  <w:tcW w:w="2891" w:type="dxa"/>
                  <w:vAlign w:val="center"/>
                </w:tcPr>
                <w:p w:rsidR="00CD5DBC" w:rsidRDefault="00CD5DBC" w:rsidP="00CD5DBC">
                  <w:pPr>
                    <w:jc w:val="center"/>
                    <w:rPr>
                      <w:rFonts w:ascii="David" w:hAnsi="David"/>
                      <w:rtl/>
                    </w:rPr>
                  </w:pPr>
                </w:p>
                <w:p w:rsidR="00CD5DBC" w:rsidRDefault="00CD5DBC" w:rsidP="00CD5DBC">
                  <w:pPr>
                    <w:spacing w:line="360" w:lineRule="auto"/>
                    <w:jc w:val="center"/>
                    <w:rPr>
                      <w:rFonts w:ascii="David" w:hAnsi="David"/>
                      <w:rtl/>
                    </w:rPr>
                  </w:pPr>
                </w:p>
              </w:tc>
              <w:tc>
                <w:tcPr>
                  <w:tcW w:w="2891" w:type="dxa"/>
                  <w:vAlign w:val="center"/>
                </w:tcPr>
                <w:p w:rsidR="00CD5DBC" w:rsidRDefault="00CD5DBC" w:rsidP="00CD5DBC">
                  <w:pPr>
                    <w:spacing w:line="360" w:lineRule="auto"/>
                    <w:jc w:val="center"/>
                    <w:rPr>
                      <w:rFonts w:ascii="David" w:hAnsi="David"/>
                      <w:rtl/>
                    </w:rPr>
                  </w:pPr>
                </w:p>
                <w:p w:rsidR="00CD5DBC" w:rsidRDefault="00CD5DBC" w:rsidP="00CD5DBC">
                  <w:pPr>
                    <w:spacing w:line="360" w:lineRule="auto"/>
                    <w:jc w:val="center"/>
                    <w:rPr>
                      <w:rFonts w:ascii="David" w:hAnsi="David"/>
                      <w:rtl/>
                    </w:rPr>
                  </w:pPr>
                </w:p>
              </w:tc>
            </w:tr>
          </w:tbl>
          <w:p w:rsidR="00CD5DBC" w:rsidRDefault="00CD5DBC" w:rsidP="00CD5DBC">
            <w:pPr>
              <w:rPr>
                <w:rFonts w:ascii="David" w:hAnsi="David"/>
                <w:rtl/>
              </w:rPr>
            </w:pPr>
          </w:p>
          <w:p w:rsidR="00B62AD7" w:rsidRPr="00B62AD7" w:rsidRDefault="00B62AD7" w:rsidP="008F51A1">
            <w:pPr>
              <w:rPr>
                <w:rFonts w:ascii="David" w:eastAsia="David" w:hAnsi="David"/>
                <w:b/>
                <w:bCs/>
                <w:noProof w:val="0"/>
              </w:rPr>
            </w:pPr>
          </w:p>
        </w:tc>
        <w:tc>
          <w:tcPr>
            <w:tcW w:w="5571" w:type="dxa"/>
          </w:tcPr>
          <w:p w:rsidR="00CF6BB7" w:rsidRDefault="00623011" w:rsidP="00B66717">
            <w:pPr>
              <w:rPr>
                <w:b/>
                <w:bCs/>
                <w:sz w:val="26"/>
                <w:szCs w:val="26"/>
                <w:rtl/>
              </w:rPr>
            </w:pPr>
            <w:sdt>
              <w:sdtPr>
                <w:rPr>
                  <w:b/>
                  <w:bCs/>
                  <w:sz w:val="26"/>
                  <w:szCs w:val="26"/>
                  <w:rtl/>
                </w:rPr>
                <w:alias w:val="3153"/>
                <w:tag w:val="3153"/>
                <w:id w:val="-1042055233"/>
                <w:lock w:val="contentLocked"/>
                <w:placeholder>
                  <w:docPart w:val="E94836ADA6264C72A55F651E19C4C7A6"/>
                </w:placeholder>
                <w:text w:multiLine="1"/>
              </w:sdtPr>
              <w:sdtEndPr/>
              <w:sdtContent/>
            </w:sdt>
          </w:p>
          <w:p w:rsidR="00B66717" w:rsidRPr="00B62AD7" w:rsidRDefault="00B66717" w:rsidP="00B66717">
            <w:pPr>
              <w:rPr>
                <w:b/>
                <w:bCs/>
                <w:sz w:val="26"/>
                <w:szCs w:val="26"/>
              </w:rPr>
            </w:pPr>
          </w:p>
        </w:tc>
      </w:tr>
      <w:tr w:rsidR="004C17EE" w:rsidTr="00D620FD">
        <w:trPr>
          <w:jc w:val="center"/>
        </w:trPr>
        <w:tc>
          <w:tcPr>
            <w:tcW w:w="8820" w:type="dxa"/>
            <w:gridSpan w:val="3"/>
          </w:tcPr>
          <w:p w:rsidR="00E65E8E" w:rsidRDefault="00E65E8E">
            <w:pPr>
              <w:suppressLineNumbers/>
              <w:rPr>
                <w:rFonts w:ascii="Arial" w:hAnsi="Arial"/>
                <w:b/>
                <w:bCs/>
                <w:noProof w:val="0"/>
                <w:sz w:val="26"/>
                <w:szCs w:val="26"/>
                <w:rtl/>
              </w:rPr>
            </w:pPr>
          </w:p>
        </w:tc>
      </w:tr>
    </w:tbl>
    <w:p w:rsidR="0094424E" w:rsidRDefault="0094424E" w:rsidP="00D44968">
      <w:pPr>
        <w:suppressLineNumbers/>
        <w:rPr>
          <w:rtl/>
        </w:rPr>
      </w:pPr>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D44968" w:rsidP="00CD5DBC">
            <w:pPr>
              <w:bidi w:val="0"/>
              <w:jc w:val="center"/>
              <w:rPr>
                <w:rFonts w:ascii="Arial" w:hAnsi="Arial"/>
                <w:b/>
                <w:bCs/>
                <w:noProof w:val="0"/>
                <w:sz w:val="28"/>
                <w:szCs w:val="28"/>
                <w:u w:val="single"/>
              </w:rPr>
            </w:pPr>
          </w:p>
        </w:tc>
      </w:tr>
    </w:tbl>
    <w:p w:rsidR="00694556" w:rsidRPr="00B95D6E" w:rsidRDefault="00694556">
      <w:pPr>
        <w:spacing w:line="360" w:lineRule="auto"/>
        <w:jc w:val="both"/>
        <w:rPr>
          <w:rFonts w:ascii="Arial" w:hAnsi="Arial"/>
          <w:noProof w:val="0"/>
          <w:rtl/>
        </w:rPr>
      </w:pPr>
      <w:bookmarkStart w:id="2" w:name="NGCSBookmark"/>
      <w:bookmarkEnd w:id="2"/>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694556" w:rsidP="00BD6531">
      <w:pPr>
        <w:tabs>
          <w:tab w:val="left" w:pos="2553"/>
        </w:tabs>
        <w:rPr>
          <w:rFonts w:ascii="Arial" w:hAnsi="Arial"/>
          <w:noProof w:val="0"/>
          <w:rtl/>
        </w:rPr>
      </w:pPr>
    </w:p>
    <w:sectPr w:rsidR="00694556" w:rsidSect="00891F42">
      <w:headerReference w:type="default" r:id="rId8"/>
      <w:footerReference w:type="default" r:id="rId9"/>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011" w:rsidRDefault="00623011">
      <w:r>
        <w:separator/>
      </w:r>
    </w:p>
  </w:endnote>
  <w:endnote w:type="continuationSeparator" w:id="0">
    <w:p w:rsidR="00623011" w:rsidRDefault="00623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6"/>
      <w:jc w:val="center"/>
      <w:rPr>
        <w:rStyle w:val="ad"/>
        <w:rFonts w:ascii="David" w:hAnsi="David"/>
      </w:rPr>
    </w:pPr>
    <w:r w:rsidRPr="00E765F7">
      <w:rPr>
        <w:rStyle w:val="ad"/>
        <w:rFonts w:ascii="David" w:hAnsi="David"/>
      </w:rPr>
      <w:fldChar w:fldCharType="begin"/>
    </w:r>
    <w:r w:rsidR="00005C8B" w:rsidRPr="00E765F7">
      <w:rPr>
        <w:rStyle w:val="ad"/>
        <w:rFonts w:ascii="David" w:hAnsi="David"/>
      </w:rPr>
      <w:instrText xml:space="preserve"> PAGE </w:instrText>
    </w:r>
    <w:r w:rsidRPr="00E765F7">
      <w:rPr>
        <w:rStyle w:val="ad"/>
        <w:rFonts w:ascii="David" w:hAnsi="David"/>
      </w:rPr>
      <w:fldChar w:fldCharType="separate"/>
    </w:r>
    <w:r w:rsidR="00353CB2">
      <w:rPr>
        <w:rStyle w:val="ad"/>
        <w:rFonts w:ascii="David" w:hAnsi="David"/>
        <w:rtl/>
      </w:rPr>
      <w:t>1</w:t>
    </w:r>
    <w:r w:rsidRPr="00E765F7">
      <w:rPr>
        <w:rStyle w:val="ad"/>
        <w:rFonts w:ascii="David" w:hAnsi="David"/>
      </w:rPr>
      <w:fldChar w:fldCharType="end"/>
    </w:r>
    <w:r w:rsidR="00005C8B" w:rsidRPr="00E765F7">
      <w:rPr>
        <w:rStyle w:val="ad"/>
        <w:rFonts w:ascii="David" w:hAnsi="David"/>
        <w:rtl/>
      </w:rPr>
      <w:t xml:space="preserve"> מתוך </w:t>
    </w:r>
    <w:r w:rsidRPr="00E765F7">
      <w:rPr>
        <w:rStyle w:val="ad"/>
        <w:rFonts w:ascii="David" w:hAnsi="David"/>
      </w:rPr>
      <w:fldChar w:fldCharType="begin"/>
    </w:r>
    <w:r w:rsidR="00005C8B" w:rsidRPr="00E765F7">
      <w:rPr>
        <w:rStyle w:val="ad"/>
        <w:rFonts w:ascii="David" w:hAnsi="David"/>
      </w:rPr>
      <w:instrText xml:space="preserve"> NUMPAGES </w:instrText>
    </w:r>
    <w:r w:rsidRPr="00E765F7">
      <w:rPr>
        <w:rStyle w:val="ad"/>
        <w:rFonts w:ascii="David" w:hAnsi="David"/>
      </w:rPr>
      <w:fldChar w:fldCharType="separate"/>
    </w:r>
    <w:r w:rsidR="00353CB2">
      <w:rPr>
        <w:rStyle w:val="ad"/>
        <w:rFonts w:ascii="David" w:hAnsi="David"/>
        <w:rtl/>
      </w:rPr>
      <w:t>1</w:t>
    </w:r>
    <w:r w:rsidRPr="00E765F7">
      <w:rPr>
        <w:rStyle w:val="ad"/>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011" w:rsidRDefault="00623011">
      <w:r>
        <w:separator/>
      </w:r>
    </w:p>
  </w:footnote>
  <w:footnote w:type="continuationSeparator" w:id="0">
    <w:p w:rsidR="00623011" w:rsidRDefault="00623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4"/>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4"/>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4"/>
            <w:jc w:val="right"/>
            <w:rPr>
              <w:b/>
              <w:bCs/>
              <w:noProof w:val="0"/>
              <w:sz w:val="26"/>
              <w:szCs w:val="26"/>
              <w:rtl/>
            </w:rPr>
          </w:pPr>
        </w:p>
      </w:tc>
    </w:tr>
    <w:tr w:rsidR="00694556">
      <w:trPr>
        <w:trHeight w:val="337"/>
        <w:jc w:val="center"/>
      </w:trPr>
      <w:tc>
        <w:tcPr>
          <w:tcW w:w="8721" w:type="dxa"/>
          <w:gridSpan w:val="2"/>
        </w:tcPr>
        <w:p w:rsidR="007D45E3" w:rsidRDefault="00623011" w:rsidP="00CD5DBC">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תפ"ח</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34375-09-22</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מדינת ישראל נ' </w:t>
              </w:r>
              <w:r w:rsidR="00CD5DBC">
                <w:rPr>
                  <w:rFonts w:hint="cs"/>
                  <w:b/>
                  <w:bCs/>
                  <w:noProof w:val="0"/>
                  <w:sz w:val="26"/>
                  <w:szCs w:val="26"/>
                  <w:rtl/>
                </w:rPr>
                <w:t xml:space="preserve">פלוני </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7D45E3" w:rsidP="007D45E3">
          <w:pPr>
            <w:rPr>
              <w:sz w:val="20"/>
              <w:szCs w:val="20"/>
              <w:rtl/>
            </w:rPr>
          </w:pP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4"/>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E6DF5"/>
    <w:multiLevelType w:val="hybridMultilevel"/>
    <w:tmpl w:val="8B861232"/>
    <w:lvl w:ilvl="0" w:tplc="800A5CAC">
      <w:start w:val="1"/>
      <w:numFmt w:val="decimal"/>
      <w:pStyle w:val="a"/>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6AB202B"/>
    <w:multiLevelType w:val="hybridMultilevel"/>
    <w:tmpl w:val="A8346B88"/>
    <w:lvl w:ilvl="0" w:tplc="C39A9602">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AE83902"/>
    <w:multiLevelType w:val="hybridMultilevel"/>
    <w:tmpl w:val="BE10043A"/>
    <w:lvl w:ilvl="0" w:tplc="D6448F9E">
      <w:start w:val="1"/>
      <w:numFmt w:val="decimal"/>
      <w:lvlText w:val="%1."/>
      <w:lvlJc w:val="left"/>
      <w:pPr>
        <w:ind w:left="567" w:hanging="567"/>
      </w:pPr>
      <w:rPr>
        <w:b w:val="0"/>
        <w:bCs w:val="0"/>
      </w:rPr>
    </w:lvl>
    <w:lvl w:ilvl="1" w:tplc="7662EFDC">
      <w:start w:val="1"/>
      <w:numFmt w:val="hebrew1"/>
      <w:lvlText w:val="%2."/>
      <w:lvlJc w:val="center"/>
      <w:pPr>
        <w:ind w:left="1440" w:hanging="360"/>
      </w:pPr>
      <w:rPr>
        <w:rFonts w:ascii="David" w:eastAsiaTheme="minorHAnsi" w:hAnsi="David" w:cs="David"/>
        <w:b w:val="0"/>
        <w:bCs w:val="0"/>
      </w:rPr>
    </w:lvl>
    <w:lvl w:ilvl="2" w:tplc="99B8B68A">
      <w:start w:val="1"/>
      <w:numFmt w:val="lowerRoman"/>
      <w:lvlText w:val="%3."/>
      <w:lvlJc w:val="right"/>
      <w:pPr>
        <w:ind w:left="2160" w:hanging="180"/>
      </w:pPr>
    </w:lvl>
    <w:lvl w:ilvl="3" w:tplc="69127816">
      <w:start w:val="1"/>
      <w:numFmt w:val="decimal"/>
      <w:lvlText w:val="%4."/>
      <w:lvlJc w:val="left"/>
      <w:pPr>
        <w:ind w:left="2880" w:hanging="360"/>
      </w:pPr>
    </w:lvl>
    <w:lvl w:ilvl="4" w:tplc="625A93D8">
      <w:start w:val="1"/>
      <w:numFmt w:val="lowerLetter"/>
      <w:lvlText w:val="%5."/>
      <w:lvlJc w:val="left"/>
      <w:pPr>
        <w:ind w:left="3600" w:hanging="360"/>
      </w:pPr>
    </w:lvl>
    <w:lvl w:ilvl="5" w:tplc="4AE24316">
      <w:start w:val="1"/>
      <w:numFmt w:val="lowerRoman"/>
      <w:lvlText w:val="%6."/>
      <w:lvlJc w:val="right"/>
      <w:pPr>
        <w:ind w:left="4320" w:hanging="180"/>
      </w:pPr>
    </w:lvl>
    <w:lvl w:ilvl="6" w:tplc="2BDCE856">
      <w:start w:val="1"/>
      <w:numFmt w:val="decimal"/>
      <w:lvlText w:val="%7."/>
      <w:lvlJc w:val="left"/>
      <w:pPr>
        <w:ind w:left="5040" w:hanging="360"/>
      </w:pPr>
    </w:lvl>
    <w:lvl w:ilvl="7" w:tplc="B232D830">
      <w:start w:val="1"/>
      <w:numFmt w:val="lowerLetter"/>
      <w:lvlText w:val="%8."/>
      <w:lvlJc w:val="left"/>
      <w:pPr>
        <w:ind w:left="5760" w:hanging="360"/>
      </w:pPr>
    </w:lvl>
    <w:lvl w:ilvl="8" w:tplc="560EB870">
      <w:start w:val="1"/>
      <w:numFmt w:val="lowerRoman"/>
      <w:lvlText w:val="%9."/>
      <w:lvlJc w:val="right"/>
      <w:pPr>
        <w:ind w:left="6480" w:hanging="180"/>
      </w:pPr>
    </w:lvl>
  </w:abstractNum>
  <w:abstractNum w:abstractNumId="3" w15:restartNumberingAfterBreak="0">
    <w:nsid w:val="5E386239"/>
    <w:multiLevelType w:val="hybridMultilevel"/>
    <w:tmpl w:val="5F247718"/>
    <w:lvl w:ilvl="0" w:tplc="312836B0">
      <w:start w:val="1"/>
      <w:numFmt w:val="hebrew1"/>
      <w:lvlText w:val="%1."/>
      <w:lvlJc w:val="left"/>
      <w:pPr>
        <w:ind w:left="1080" w:hanging="360"/>
      </w:pPr>
      <w:rPr>
        <w:rFonts w:eastAsia="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D6521"/>
    <w:rsid w:val="001E75CA"/>
    <w:rsid w:val="002265FF"/>
    <w:rsid w:val="00235B97"/>
    <w:rsid w:val="00271B56"/>
    <w:rsid w:val="002C344E"/>
    <w:rsid w:val="002E75E9"/>
    <w:rsid w:val="002F0B1E"/>
    <w:rsid w:val="00300C90"/>
    <w:rsid w:val="00307A6A"/>
    <w:rsid w:val="00307C40"/>
    <w:rsid w:val="00320433"/>
    <w:rsid w:val="003230C7"/>
    <w:rsid w:val="00327E50"/>
    <w:rsid w:val="0033597A"/>
    <w:rsid w:val="00343D89"/>
    <w:rsid w:val="00353CB2"/>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02E3C"/>
    <w:rsid w:val="00511B90"/>
    <w:rsid w:val="00520898"/>
    <w:rsid w:val="00523621"/>
    <w:rsid w:val="00524986"/>
    <w:rsid w:val="005268F6"/>
    <w:rsid w:val="00534284"/>
    <w:rsid w:val="00547DB7"/>
    <w:rsid w:val="005C0627"/>
    <w:rsid w:val="005F4F09"/>
    <w:rsid w:val="0061431B"/>
    <w:rsid w:val="00622BAA"/>
    <w:rsid w:val="00623011"/>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8F51A1"/>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5DBC"/>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65E8E"/>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4423"/>
    <w:pPr>
      <w:bidi/>
    </w:pPr>
    <w:rPr>
      <w:rFonts w:cs="David"/>
      <w:noProof/>
      <w:sz w:val="24"/>
      <w:szCs w:val="24"/>
    </w:rPr>
  </w:style>
  <w:style w:type="paragraph" w:styleId="4">
    <w:name w:val="heading 4"/>
    <w:basedOn w:val="a0"/>
    <w:next w:val="a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C64423"/>
    <w:pPr>
      <w:tabs>
        <w:tab w:val="center" w:pos="4153"/>
        <w:tab w:val="right" w:pos="8306"/>
      </w:tabs>
    </w:pPr>
  </w:style>
  <w:style w:type="paragraph" w:styleId="a6">
    <w:name w:val="footer"/>
    <w:basedOn w:val="a0"/>
    <w:rsid w:val="00C64423"/>
    <w:pPr>
      <w:tabs>
        <w:tab w:val="center" w:pos="4153"/>
        <w:tab w:val="right" w:pos="8306"/>
      </w:tabs>
    </w:pPr>
  </w:style>
  <w:style w:type="paragraph" w:customStyle="1" w:styleId="a7">
    <w:name w:val="סעיפים"/>
    <w:basedOn w:val="a0"/>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0"/>
    <w:semiHidden/>
    <w:rsid w:val="00C64423"/>
    <w:rPr>
      <w:rFonts w:cs="Times New Roman"/>
      <w:noProof w:val="0"/>
    </w:rPr>
  </w:style>
  <w:style w:type="character" w:styleId="a9">
    <w:name w:val="annotation reference"/>
    <w:basedOn w:val="a1"/>
    <w:semiHidden/>
    <w:rsid w:val="00C64423"/>
    <w:rPr>
      <w:sz w:val="16"/>
      <w:szCs w:val="16"/>
    </w:rPr>
  </w:style>
  <w:style w:type="paragraph" w:styleId="aa">
    <w:name w:val="Balloon Text"/>
    <w:basedOn w:val="a0"/>
    <w:semiHidden/>
    <w:rsid w:val="00C64423"/>
    <w:rPr>
      <w:rFonts w:ascii="Tahoma" w:hAnsi="Tahoma" w:cs="Tahoma"/>
      <w:sz w:val="16"/>
      <w:szCs w:val="16"/>
    </w:rPr>
  </w:style>
  <w:style w:type="table" w:styleId="ab">
    <w:name w:val="Table Grid"/>
    <w:basedOn w:val="a2"/>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1"/>
    <w:rsid w:val="00C64423"/>
  </w:style>
  <w:style w:type="character" w:styleId="ad">
    <w:name w:val="page number"/>
    <w:basedOn w:val="a1"/>
    <w:rsid w:val="00C64423"/>
  </w:style>
  <w:style w:type="table" w:customStyle="1" w:styleId="1">
    <w:name w:val="טבלת רשת1"/>
    <w:basedOn w:val="a2"/>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1"/>
    <w:uiPriority w:val="99"/>
    <w:semiHidden/>
    <w:rsid w:val="003230C7"/>
    <w:rPr>
      <w:color w:val="808080"/>
    </w:rPr>
  </w:style>
  <w:style w:type="character" w:customStyle="1" w:styleId="a5">
    <w:name w:val="כותרת עליונה תו"/>
    <w:basedOn w:val="a1"/>
    <w:link w:val="a4"/>
    <w:rsid w:val="00CD5DBC"/>
    <w:rPr>
      <w:rFonts w:cs="David"/>
      <w:noProof/>
      <w:sz w:val="24"/>
      <w:szCs w:val="24"/>
    </w:rPr>
  </w:style>
  <w:style w:type="paragraph" w:styleId="af">
    <w:name w:val="List Paragraph"/>
    <w:basedOn w:val="a0"/>
    <w:uiPriority w:val="34"/>
    <w:qFormat/>
    <w:rsid w:val="00CD5DBC"/>
    <w:pPr>
      <w:ind w:left="720"/>
    </w:pPr>
    <w:rPr>
      <w:rFonts w:cs="Times New Roman"/>
      <w:noProof w:val="0"/>
    </w:rPr>
  </w:style>
  <w:style w:type="paragraph" w:customStyle="1" w:styleId="12">
    <w:name w:val="רגיל + ‏12 נק'"/>
    <w:aliases w:val="מיושר לשני הצדדים,מרווח בין שורות:  שורה וחצי"/>
    <w:basedOn w:val="a0"/>
    <w:rsid w:val="00CD5DBC"/>
    <w:rPr>
      <w:b/>
      <w:bCs/>
      <w:noProof w:val="0"/>
      <w:u w:val="single"/>
    </w:rPr>
  </w:style>
  <w:style w:type="character" w:customStyle="1" w:styleId="Ruller4">
    <w:name w:val="Ruller4 תו"/>
    <w:link w:val="Ruller40"/>
    <w:locked/>
    <w:rsid w:val="00CD5DBC"/>
    <w:rPr>
      <w:rFonts w:ascii="Arial TUR" w:hAnsi="Arial TUR" w:cs="Arial TUR"/>
      <w:spacing w:val="10"/>
      <w:sz w:val="28"/>
      <w:lang w:val="x-none" w:eastAsia="he-IL"/>
    </w:rPr>
  </w:style>
  <w:style w:type="paragraph" w:customStyle="1" w:styleId="Ruller40">
    <w:name w:val="Ruller4"/>
    <w:basedOn w:val="a0"/>
    <w:link w:val="Ruller4"/>
    <w:rsid w:val="00CD5DBC"/>
    <w:pPr>
      <w:tabs>
        <w:tab w:val="left" w:pos="800"/>
      </w:tabs>
      <w:overflowPunct w:val="0"/>
      <w:autoSpaceDE w:val="0"/>
      <w:autoSpaceDN w:val="0"/>
      <w:adjustRightInd w:val="0"/>
      <w:spacing w:line="360" w:lineRule="auto"/>
      <w:jc w:val="both"/>
    </w:pPr>
    <w:rPr>
      <w:rFonts w:ascii="Arial TUR" w:hAnsi="Arial TUR" w:cs="Arial TUR"/>
      <w:noProof w:val="0"/>
      <w:spacing w:val="10"/>
      <w:sz w:val="28"/>
      <w:szCs w:val="20"/>
      <w:lang w:val="x-none" w:eastAsia="he-IL"/>
    </w:rPr>
  </w:style>
  <w:style w:type="paragraph" w:customStyle="1" w:styleId="a">
    <w:name w:val="ממוספר"/>
    <w:basedOn w:val="a0"/>
    <w:rsid w:val="00CD5DBC"/>
    <w:pPr>
      <w:numPr>
        <w:numId w:val="1"/>
      </w:numPr>
      <w:spacing w:after="120" w:line="360" w:lineRule="auto"/>
    </w:pPr>
    <w:rPr>
      <w:rFonts w:ascii="David" w:hAnsi="David"/>
      <w:noProof w:val="0"/>
      <w:color w:val="000000"/>
    </w:rPr>
  </w:style>
  <w:style w:type="character" w:customStyle="1" w:styleId="TimesNewRomanTimesNewRoman">
    <w:name w:val="סגנון (לטיני) Times New Roman (עברית ושפות אחרות) Times New Roman..."/>
    <w:basedOn w:val="a1"/>
    <w:rsid w:val="00CD5DBC"/>
    <w:rPr>
      <w:rFonts w:ascii="Times New Roman" w:hAnsi="Times New Roman" w:cs="David" w:hint="default"/>
      <w:b/>
      <w:bCs/>
      <w:sz w:val="26"/>
      <w:szCs w:val="26"/>
    </w:rPr>
  </w:style>
  <w:style w:type="character" w:styleId="Hyperlink">
    <w:name w:val="Hyperlink"/>
    <w:basedOn w:val="a1"/>
    <w:uiPriority w:val="99"/>
    <w:semiHidden/>
    <w:unhideWhenUsed/>
    <w:rsid w:val="00CD5D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50380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A74356" w:rsidP="00A74356">
          <w:pPr>
            <w:pStyle w:val="610C6E051A88448494B3C30FBAD747735"/>
          </w:pPr>
          <w:r w:rsidRPr="00B62AD7">
            <w:rPr>
              <w:rFonts w:ascii="David" w:eastAsia="David" w:hAnsi="David"/>
              <w:b/>
              <w:bCs/>
              <w:rtl/>
            </w:rPr>
            <w:t>מעמד.כינוי צד ג'</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A74356" w:rsidP="00A74356">
          <w:pPr>
            <w:pStyle w:val="E94836ADA6264C72A55F651E19C4C7A65"/>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0C1767"/>
    <w:rsid w:val="001A0763"/>
    <w:rsid w:val="002D02C4"/>
    <w:rsid w:val="002D09CE"/>
    <w:rsid w:val="00345C9D"/>
    <w:rsid w:val="0048651F"/>
    <w:rsid w:val="004B017A"/>
    <w:rsid w:val="005157ED"/>
    <w:rsid w:val="00556D67"/>
    <w:rsid w:val="00673B50"/>
    <w:rsid w:val="00793995"/>
    <w:rsid w:val="007C6F98"/>
    <w:rsid w:val="007E254A"/>
    <w:rsid w:val="008129A6"/>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DDDA8589B8E34222A94AF5D6D4CB5298">
    <w:name w:val="DDDA8589B8E34222A94AF5D6D4CB5298"/>
    <w:rsid w:val="000C1767"/>
    <w:pPr>
      <w:bidi/>
      <w:spacing w:after="160" w:line="259" w:lineRule="auto"/>
    </w:pPr>
  </w:style>
  <w:style w:type="paragraph" w:customStyle="1" w:styleId="0C6C9E76D8544A3BA511F64B87577CE2">
    <w:name w:val="0C6C9E76D8544A3BA511F64B87577CE2"/>
    <w:rsid w:val="000C1767"/>
    <w:pPr>
      <w:bidi/>
      <w:spacing w:after="160" w:line="259" w:lineRule="auto"/>
    </w:pPr>
  </w:style>
  <w:style w:type="paragraph" w:customStyle="1" w:styleId="F0C9DE255F2E4B58AF2D41903E148BB5">
    <w:name w:val="F0C9DE255F2E4B58AF2D41903E148BB5"/>
    <w:rsid w:val="000C1767"/>
    <w:pPr>
      <w:bidi/>
      <w:spacing w:after="160" w:line="259" w:lineRule="auto"/>
    </w:pPr>
  </w:style>
  <w:style w:type="paragraph" w:customStyle="1" w:styleId="679708D02F064E339148941B5D3B435A">
    <w:name w:val="679708D02F064E339148941B5D3B435A"/>
    <w:rsid w:val="000C1767"/>
    <w:pPr>
      <w:bidi/>
      <w:spacing w:after="160" w:line="259" w:lineRule="auto"/>
    </w:pPr>
  </w:style>
  <w:style w:type="paragraph" w:customStyle="1" w:styleId="0230C7D67F6E4BE8BC79BDA879FD4830">
    <w:name w:val="0230C7D67F6E4BE8BC79BDA879FD4830"/>
    <w:rsid w:val="000C1767"/>
    <w:pPr>
      <w:bidi/>
      <w:spacing w:after="160" w:line="259" w:lineRule="auto"/>
    </w:pPr>
  </w:style>
  <w:style w:type="paragraph" w:customStyle="1" w:styleId="C6C56FDCB6064AC5B2DE1D73E1E4C80F">
    <w:name w:val="C6C56FDCB6064AC5B2DE1D73E1E4C80F"/>
    <w:rsid w:val="000C1767"/>
    <w:pPr>
      <w:bidi/>
      <w:spacing w:after="160" w:line="259" w:lineRule="auto"/>
    </w:pPr>
  </w:style>
  <w:style w:type="paragraph" w:customStyle="1" w:styleId="B7A54855FCAF4C9B9DB8F959066D550F">
    <w:name w:val="B7A54855FCAF4C9B9DB8F959066D550F"/>
    <w:rsid w:val="000C1767"/>
    <w:pPr>
      <w:bidi/>
      <w:spacing w:after="160" w:line="259" w:lineRule="auto"/>
    </w:pPr>
  </w:style>
  <w:style w:type="paragraph" w:customStyle="1" w:styleId="2F8F1BC6D5FA4103B59BDBFE633BC8DB">
    <w:name w:val="2F8F1BC6D5FA4103B59BDBFE633BC8DB"/>
    <w:rsid w:val="000C176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2651</Words>
  <Characters>13257</Characters>
  <Application>Microsoft Office Word</Application>
  <DocSecurity>0</DocSecurity>
  <Lines>110</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2024-12-12T15:52:00Z</dcterms:created>
  <dcterms:modified xsi:type="dcterms:W3CDTF">2024-12-12T15:52:00Z</dcterms:modified>
</cp:coreProperties>
</file>